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8BD1A" w14:textId="77777777" w:rsidR="00687CB5" w:rsidRDefault="0088594F">
      <w:pPr>
        <w:spacing w:before="2"/>
        <w:ind w:left="508" w:right="525"/>
        <w:jc w:val="center"/>
        <w:rPr>
          <w:rFonts w:ascii="Times New Roman" w:eastAsia="Times New Roman" w:hAnsi="Times New Roman" w:cs="Times New Roman"/>
          <w:sz w:val="24"/>
          <w:szCs w:val="24"/>
        </w:rPr>
      </w:pPr>
      <w:r>
        <w:rPr>
          <w:rFonts w:ascii="Times New Roman"/>
          <w:b/>
          <w:sz w:val="24"/>
        </w:rPr>
        <w:t>SPATIAL ANALYSIS OF URBAN BICYCLES FACILITY AND THE SURROUNDING NEIGHBORHOOD</w:t>
      </w:r>
    </w:p>
    <w:p w14:paraId="3CFB4478" w14:textId="77777777" w:rsidR="00687CB5" w:rsidRDefault="00687CB5">
      <w:pPr>
        <w:spacing w:before="6"/>
        <w:rPr>
          <w:rFonts w:ascii="Times New Roman" w:eastAsia="Times New Roman" w:hAnsi="Times New Roman" w:cs="Times New Roman"/>
          <w:b/>
          <w:bCs/>
          <w:sz w:val="23"/>
          <w:szCs w:val="23"/>
        </w:rPr>
      </w:pPr>
    </w:p>
    <w:p w14:paraId="0E7E8803" w14:textId="77777777" w:rsidR="00687CB5" w:rsidRDefault="0088594F">
      <w:pPr>
        <w:ind w:left="498" w:right="525"/>
        <w:jc w:val="center"/>
        <w:rPr>
          <w:rFonts w:ascii="Times New Roman" w:eastAsia="Times New Roman" w:hAnsi="Times New Roman" w:cs="Times New Roman"/>
        </w:rPr>
      </w:pPr>
      <w:r>
        <w:rPr>
          <w:rFonts w:ascii="Times New Roman"/>
          <w:spacing w:val="-1"/>
        </w:rPr>
        <w:t>Jessica, Dyah Lestari Widaningrum</w:t>
      </w:r>
    </w:p>
    <w:p w14:paraId="27349B75" w14:textId="77777777" w:rsidR="00687CB5" w:rsidRDefault="00687CB5">
      <w:pPr>
        <w:spacing w:before="4"/>
        <w:rPr>
          <w:rFonts w:ascii="Times New Roman" w:eastAsia="Times New Roman" w:hAnsi="Times New Roman" w:cs="Times New Roman"/>
          <w:sz w:val="13"/>
          <w:szCs w:val="13"/>
        </w:rPr>
      </w:pPr>
    </w:p>
    <w:p w14:paraId="283C8C1B" w14:textId="77777777" w:rsidR="00687CB5" w:rsidRDefault="0088594F">
      <w:pPr>
        <w:spacing w:before="82"/>
        <w:ind w:left="1453" w:right="525"/>
        <w:jc w:val="center"/>
        <w:rPr>
          <w:rFonts w:ascii="Times New Roman" w:eastAsia="Times New Roman" w:hAnsi="Times New Roman" w:cs="Times New Roman"/>
        </w:rPr>
      </w:pPr>
      <w:r>
        <w:rPr>
          <w:rFonts w:ascii="Times New Roman"/>
          <w:spacing w:val="-1"/>
        </w:rPr>
        <w:t>Industrial Engineering Department, Faculty of Engineering, Bina Nusantara University, Jakarta, Indonesia, 11480</w:t>
      </w:r>
    </w:p>
    <w:p w14:paraId="35D7AEEB" w14:textId="77777777" w:rsidR="00687CB5" w:rsidRDefault="0088594F">
      <w:pPr>
        <w:spacing w:before="7" w:line="250" w:lineRule="exact"/>
        <w:ind w:left="1453" w:right="515"/>
        <w:jc w:val="center"/>
        <w:rPr>
          <w:rFonts w:ascii="Times New Roman" w:eastAsia="Times New Roman" w:hAnsi="Times New Roman" w:cs="Times New Roman"/>
        </w:rPr>
      </w:pPr>
      <w:r>
        <w:rPr>
          <w:rFonts w:ascii="Times New Roman"/>
          <w:spacing w:val="-2"/>
        </w:rPr>
        <w:t>Email:</w:t>
      </w:r>
      <w:r>
        <w:rPr>
          <w:rFonts w:ascii="Times New Roman"/>
          <w:spacing w:val="-1"/>
        </w:rPr>
        <w:t xml:space="preserve"> </w:t>
      </w:r>
      <w:r>
        <w:rPr>
          <w:rFonts w:ascii="Times New Roman"/>
          <w:spacing w:val="-3"/>
          <w:u w:val="single" w:color="000000"/>
        </w:rPr>
        <w:t>jessica024@binus.ac.id; dwidaningrum@binus.edu</w:t>
      </w:r>
    </w:p>
    <w:p w14:paraId="2E5E2F4F" w14:textId="77777777" w:rsidR="00687CB5" w:rsidRDefault="00687CB5">
      <w:pPr>
        <w:spacing w:before="10"/>
        <w:rPr>
          <w:rFonts w:ascii="Times New Roman" w:eastAsia="Times New Roman" w:hAnsi="Times New Roman" w:cs="Times New Roman"/>
          <w:sz w:val="18"/>
          <w:szCs w:val="18"/>
        </w:rPr>
      </w:pPr>
    </w:p>
    <w:p w14:paraId="6E49BD8B" w14:textId="4B7F8FF0" w:rsidR="00687CB5" w:rsidRDefault="0088594F">
      <w:pPr>
        <w:spacing w:before="61"/>
        <w:ind w:left="114"/>
        <w:jc w:val="both"/>
        <w:rPr>
          <w:rFonts w:ascii="Times New Roman" w:eastAsia="Times New Roman" w:hAnsi="Times New Roman" w:cs="Times New Roman"/>
          <w:sz w:val="24"/>
          <w:szCs w:val="24"/>
        </w:rPr>
      </w:pPr>
      <w:r>
        <w:rPr>
          <w:rFonts w:ascii="Times New Roman"/>
          <w:b/>
          <w:spacing w:val="1"/>
          <w:sz w:val="24"/>
        </w:rPr>
        <w:t>KEY</w:t>
      </w:r>
      <w:r>
        <w:rPr>
          <w:rFonts w:ascii="Times New Roman"/>
          <w:b/>
          <w:spacing w:val="-1"/>
          <w:sz w:val="24"/>
        </w:rPr>
        <w:t>WORDS:</w:t>
      </w:r>
      <w:r>
        <w:rPr>
          <w:rFonts w:ascii="Times New Roman"/>
          <w:b/>
          <w:spacing w:val="5"/>
          <w:sz w:val="24"/>
        </w:rPr>
        <w:t xml:space="preserve"> </w:t>
      </w:r>
      <w:r>
        <w:rPr>
          <w:rFonts w:ascii="Times New Roman"/>
          <w:spacing w:val="-1"/>
          <w:sz w:val="24"/>
        </w:rPr>
        <w:t>Bicycle Facility; Urban Area; Spatial Analysis; Neighborhood</w:t>
      </w:r>
    </w:p>
    <w:p w14:paraId="1DF96127" w14:textId="77777777" w:rsidR="00687CB5" w:rsidRDefault="00687CB5">
      <w:pPr>
        <w:spacing w:before="6"/>
        <w:rPr>
          <w:rFonts w:ascii="Times New Roman" w:eastAsia="Times New Roman" w:hAnsi="Times New Roman" w:cs="Times New Roman"/>
          <w:sz w:val="24"/>
          <w:szCs w:val="24"/>
        </w:rPr>
      </w:pPr>
    </w:p>
    <w:p w14:paraId="0310DF20" w14:textId="77777777" w:rsidR="00687CB5" w:rsidRDefault="0088594F">
      <w:pPr>
        <w:pStyle w:val="BodyText"/>
        <w:spacing w:line="233" w:lineRule="auto"/>
        <w:ind w:left="114" w:right="146"/>
        <w:jc w:val="both"/>
      </w:pPr>
      <w:r>
        <w:rPr>
          <w:b/>
          <w:spacing w:val="-1"/>
        </w:rPr>
        <w:t>ABSTRACT:</w:t>
      </w:r>
      <w:r>
        <w:rPr>
          <w:b/>
          <w:spacing w:val="14"/>
        </w:rPr>
        <w:t xml:space="preserve"> </w:t>
      </w:r>
      <w:r w:rsidRPr="00C05E69">
        <w:t xml:space="preserve">More than half of the world's population currently lives in cities, and this is also happening in Jakarta, as the only megacity in Indonesia. Based on the United Nations data, 55.3% of Indonesia’s population occupied urban areas in mid-2018. Various modes of transportation and their infrastructure are developed to support the mobility of urban communities. Mass transportation for long-distance trips to locations for activities such as work, education, leisure, and shopping, is needed. However, access to mass transportation facilities is not always close to the origin location, whether it is from home, office, and so on. Therefore, various alternatives are also available for people to reach the mass transportation facilities, such as minivans with certain routes (called </w:t>
      </w:r>
      <w:proofErr w:type="spellStart"/>
      <w:r w:rsidRPr="00C05E69">
        <w:t>Angkot</w:t>
      </w:r>
      <w:proofErr w:type="spellEnd"/>
      <w:r w:rsidRPr="00C05E69">
        <w:t xml:space="preserve"> - </w:t>
      </w:r>
      <w:proofErr w:type="spellStart"/>
      <w:r w:rsidRPr="00C05E69">
        <w:t>Angkutan</w:t>
      </w:r>
      <w:proofErr w:type="spellEnd"/>
      <w:r w:rsidRPr="00C05E69">
        <w:t xml:space="preserve"> Kota), online car/motorcycle, and another interesting alternative is by bicycle. There are various positive things by using bicycles as a mode of transportation, such as less pollution and increasing health for cyclists. These positive things can be achieved by synergies from various parties, especially providers of cycling facilities (bike parking and bike-sharing) as well as safe infrastructure for cycling (such as providing special lanes or boulevards for cyclists) as well as cyclists' concern for their safety. This paper aims to examine the spatial characteristics of the existing cycling facility and the surrounding neighborhood. The interaction between cycling facilities and surrounding facilities will be explored considering that city growth encourages a complex network of interacting daily service activities. The results are presented as paired neighborhood relationships between cycling facilities with other public facilities. The spatial data were collected, managed, processed, and presented as visual information using QGIS Desktop version 3.1.8. </w:t>
      </w:r>
      <w:proofErr w:type="spellStart"/>
      <w:r w:rsidRPr="00C05E69">
        <w:t>PostGIS</w:t>
      </w:r>
      <w:proofErr w:type="spellEnd"/>
      <w:r w:rsidRPr="00C05E69">
        <w:t xml:space="preserve"> is used as an extension of </w:t>
      </w:r>
      <w:proofErr w:type="spellStart"/>
      <w:r w:rsidRPr="00C05E69">
        <w:t>PostGreSQL</w:t>
      </w:r>
      <w:proofErr w:type="spellEnd"/>
      <w:r w:rsidRPr="00C05E69">
        <w:t xml:space="preserve"> for importing/exporting shapefiles. </w:t>
      </w:r>
      <w:proofErr w:type="spellStart"/>
      <w:r w:rsidRPr="00C05E69">
        <w:t>ST_Distance</w:t>
      </w:r>
      <w:proofErr w:type="spellEnd"/>
      <w:r w:rsidRPr="00C05E69">
        <w:t xml:space="preserve"> function and </w:t>
      </w:r>
      <w:proofErr w:type="spellStart"/>
      <w:r w:rsidRPr="00C05E69">
        <w:t>ST_Dwithin</w:t>
      </w:r>
      <w:proofErr w:type="spellEnd"/>
      <w:r w:rsidRPr="00C05E69">
        <w:t xml:space="preserve"> function of </w:t>
      </w:r>
      <w:proofErr w:type="spellStart"/>
      <w:r w:rsidRPr="00C05E69">
        <w:t>PostGreSQL</w:t>
      </w:r>
      <w:proofErr w:type="spellEnd"/>
      <w:r w:rsidRPr="00C05E69">
        <w:t xml:space="preserve"> database/SQL queries are applied for proximity analysis of all instances that occur. This study can be used to better understand the spatial characteristics of cycling facilities so that facility and infrastructure providers know a basis for better urban development planning.</w:t>
      </w:r>
    </w:p>
    <w:p w14:paraId="394C8CD1" w14:textId="77777777" w:rsidR="00687CB5" w:rsidRDefault="00687CB5">
      <w:pPr>
        <w:spacing w:before="7"/>
        <w:rPr>
          <w:rFonts w:ascii="Times New Roman" w:eastAsia="Times New Roman" w:hAnsi="Times New Roman" w:cs="Times New Roman"/>
          <w:sz w:val="24"/>
          <w:szCs w:val="24"/>
        </w:rPr>
      </w:pPr>
    </w:p>
    <w:p w14:paraId="48C2FEA0" w14:textId="77777777" w:rsidR="00687CB5" w:rsidRDefault="0088594F" w:rsidP="00491D1A">
      <w:pPr>
        <w:pStyle w:val="Heading1"/>
        <w:numPr>
          <w:ilvl w:val="0"/>
          <w:numId w:val="1"/>
        </w:numPr>
        <w:tabs>
          <w:tab w:val="left" w:pos="422"/>
        </w:tabs>
        <w:spacing w:line="480" w:lineRule="auto"/>
        <w:jc w:val="both"/>
        <w:rPr>
          <w:b w:val="0"/>
          <w:bCs w:val="0"/>
        </w:rPr>
      </w:pPr>
      <w:r>
        <w:rPr>
          <w:spacing w:val="-1"/>
        </w:rPr>
        <w:t>INTRODUCTION</w:t>
      </w:r>
    </w:p>
    <w:p w14:paraId="62AC4646" w14:textId="657EED0C" w:rsidR="00687CB5" w:rsidRDefault="0088594F" w:rsidP="00491D1A">
      <w:pPr>
        <w:ind w:leftChars="64" w:left="141" w:firstLine="1"/>
        <w:jc w:val="both"/>
        <w:rPr>
          <w:rFonts w:ascii="Times New Roman" w:eastAsia="SimSun" w:hAnsi="Times New Roman" w:cs="Times New Roman"/>
          <w:sz w:val="24"/>
          <w:szCs w:val="24"/>
          <w:lang w:bidi="ar"/>
        </w:rPr>
      </w:pPr>
      <w:r>
        <w:rPr>
          <w:rFonts w:ascii="Times New Roman" w:eastAsia="SimSun" w:hAnsi="Times New Roman" w:cs="Times New Roman"/>
          <w:sz w:val="24"/>
          <w:szCs w:val="24"/>
          <w:lang w:bidi="ar"/>
        </w:rPr>
        <w:t xml:space="preserve">Population growth is the main indicator </w:t>
      </w:r>
      <w:r w:rsidR="00C53878">
        <w:rPr>
          <w:rFonts w:ascii="Times New Roman" w:eastAsia="SimSun" w:hAnsi="Times New Roman" w:cs="Times New Roman"/>
          <w:sz w:val="24"/>
          <w:szCs w:val="24"/>
          <w:lang w:bidi="ar"/>
        </w:rPr>
        <w:t xml:space="preserve">of </w:t>
      </w:r>
      <w:r>
        <w:rPr>
          <w:rFonts w:ascii="Times New Roman" w:eastAsia="SimSun" w:hAnsi="Times New Roman" w:cs="Times New Roman"/>
          <w:sz w:val="24"/>
          <w:szCs w:val="24"/>
          <w:lang w:bidi="ar"/>
        </w:rPr>
        <w:t xml:space="preserve">the growth of a city. The number of people who urbanize from rural to urban areas is increasing. Based on data from the United Nation, people living in cities around the world reach 55% of the current population </w:t>
      </w:r>
      <w:sdt>
        <w:sdtPr>
          <w:rPr>
            <w:rFonts w:ascii="Times New Roman" w:eastAsia="SimSun" w:hAnsi="Times New Roman" w:cs="Times New Roman"/>
            <w:sz w:val="24"/>
            <w:szCs w:val="24"/>
            <w:lang w:bidi="ar"/>
          </w:rPr>
          <w:id w:val="-1570265964"/>
        </w:sdtPr>
        <w:sdtEndPr/>
        <w:sdtContent>
          <w:r>
            <w:rPr>
              <w:rFonts w:ascii="Times New Roman" w:eastAsia="SimSun" w:hAnsi="Times New Roman" w:cs="Times New Roman"/>
              <w:sz w:val="24"/>
              <w:szCs w:val="24"/>
              <w:lang w:bidi="ar"/>
            </w:rPr>
            <w:fldChar w:fldCharType="begin"/>
          </w:r>
          <w:r>
            <w:rPr>
              <w:rFonts w:ascii="Times New Roman" w:eastAsia="SimSun" w:hAnsi="Times New Roman" w:cs="Times New Roman"/>
              <w:sz w:val="24"/>
              <w:szCs w:val="24"/>
              <w:lang w:bidi="ar"/>
            </w:rPr>
            <w:instrText xml:space="preserve"> CITATION Uni18 \l 1033 </w:instrText>
          </w:r>
          <w:r>
            <w:rPr>
              <w:rFonts w:ascii="Times New Roman" w:eastAsia="SimSun" w:hAnsi="Times New Roman" w:cs="Times New Roman"/>
              <w:sz w:val="24"/>
              <w:szCs w:val="24"/>
              <w:lang w:bidi="ar"/>
            </w:rPr>
            <w:fldChar w:fldCharType="separate"/>
          </w:r>
          <w:r>
            <w:rPr>
              <w:rFonts w:ascii="Times New Roman" w:eastAsia="SimSun" w:hAnsi="Times New Roman" w:cs="Times New Roman"/>
              <w:sz w:val="24"/>
              <w:szCs w:val="24"/>
              <w:lang w:bidi="ar"/>
            </w:rPr>
            <w:t>(United Nation</w:t>
          </w:r>
          <w:r w:rsidR="00C53878">
            <w:rPr>
              <w:rFonts w:ascii="Times New Roman" w:eastAsia="SimSun" w:hAnsi="Times New Roman" w:cs="Times New Roman"/>
              <w:sz w:val="24"/>
              <w:szCs w:val="24"/>
              <w:lang w:bidi="ar"/>
            </w:rPr>
            <w:t>s</w:t>
          </w:r>
          <w:r>
            <w:rPr>
              <w:rFonts w:ascii="Times New Roman" w:eastAsia="SimSun" w:hAnsi="Times New Roman" w:cs="Times New Roman"/>
              <w:sz w:val="24"/>
              <w:szCs w:val="24"/>
              <w:lang w:bidi="ar"/>
            </w:rPr>
            <w:t>, 2018)</w:t>
          </w:r>
          <w:r>
            <w:rPr>
              <w:rFonts w:ascii="Times New Roman" w:eastAsia="SimSun" w:hAnsi="Times New Roman" w:cs="Times New Roman"/>
              <w:sz w:val="24"/>
              <w:szCs w:val="24"/>
              <w:lang w:bidi="ar"/>
            </w:rPr>
            <w:fldChar w:fldCharType="end"/>
          </w:r>
        </w:sdtContent>
      </w:sdt>
      <w:r>
        <w:rPr>
          <w:rFonts w:ascii="Times New Roman" w:eastAsia="SimSun" w:hAnsi="Times New Roman" w:cs="Times New Roman"/>
          <w:sz w:val="24"/>
          <w:szCs w:val="24"/>
          <w:lang w:bidi="ar"/>
        </w:rPr>
        <w:t xml:space="preserve">. The growth of </w:t>
      </w:r>
      <w:r w:rsidR="00C53878">
        <w:rPr>
          <w:rFonts w:ascii="Times New Roman" w:eastAsia="SimSun" w:hAnsi="Times New Roman" w:cs="Times New Roman"/>
          <w:sz w:val="24"/>
          <w:szCs w:val="24"/>
          <w:lang w:bidi="ar"/>
        </w:rPr>
        <w:t xml:space="preserve">the </w:t>
      </w:r>
      <w:r>
        <w:rPr>
          <w:rFonts w:ascii="Times New Roman" w:eastAsia="SimSun" w:hAnsi="Times New Roman" w:cs="Times New Roman"/>
          <w:sz w:val="24"/>
          <w:szCs w:val="24"/>
          <w:lang w:bidi="ar"/>
        </w:rPr>
        <w:t xml:space="preserve">urban population in the world increased rapidly from 1950 by 751 million people and to 4.2 billion people in 2018. Several regions in the world experience a high level of urbanization, such as 82% of the population living in urban areas in North America, in Latin America and the Caribbean as many as 81% of the population lives in cities, Europe at 74%, Oceania at 68%, Asia approaching 50%, and Africa at 43% </w:t>
      </w:r>
      <w:sdt>
        <w:sdtPr>
          <w:rPr>
            <w:rFonts w:ascii="Times New Roman" w:eastAsia="SimSun" w:hAnsi="Times New Roman" w:cs="Times New Roman"/>
            <w:sz w:val="24"/>
            <w:szCs w:val="24"/>
            <w:lang w:bidi="ar"/>
          </w:rPr>
          <w:id w:val="-1022931422"/>
        </w:sdtPr>
        <w:sdtEndPr/>
        <w:sdtContent>
          <w:r>
            <w:rPr>
              <w:rFonts w:ascii="Times New Roman" w:eastAsia="SimSun" w:hAnsi="Times New Roman" w:cs="Times New Roman"/>
              <w:sz w:val="24"/>
              <w:szCs w:val="24"/>
              <w:lang w:bidi="ar"/>
            </w:rPr>
            <w:fldChar w:fldCharType="begin"/>
          </w:r>
          <w:r>
            <w:rPr>
              <w:rFonts w:ascii="Times New Roman" w:eastAsia="SimSun" w:hAnsi="Times New Roman" w:cs="Times New Roman"/>
              <w:sz w:val="24"/>
              <w:szCs w:val="24"/>
              <w:lang w:bidi="ar"/>
            </w:rPr>
            <w:instrText xml:space="preserve"> CITATION Uni18 \l 1033 </w:instrText>
          </w:r>
          <w:r>
            <w:rPr>
              <w:rFonts w:ascii="Times New Roman" w:eastAsia="SimSun" w:hAnsi="Times New Roman" w:cs="Times New Roman"/>
              <w:sz w:val="24"/>
              <w:szCs w:val="24"/>
              <w:lang w:bidi="ar"/>
            </w:rPr>
            <w:fldChar w:fldCharType="separate"/>
          </w:r>
          <w:r>
            <w:rPr>
              <w:rFonts w:ascii="Times New Roman" w:eastAsia="SimSun" w:hAnsi="Times New Roman" w:cs="Times New Roman"/>
              <w:sz w:val="24"/>
              <w:szCs w:val="24"/>
              <w:lang w:bidi="ar"/>
            </w:rPr>
            <w:t>(United Nation, 2018)</w:t>
          </w:r>
          <w:r>
            <w:rPr>
              <w:rFonts w:ascii="Times New Roman" w:eastAsia="SimSun" w:hAnsi="Times New Roman" w:cs="Times New Roman"/>
              <w:sz w:val="24"/>
              <w:szCs w:val="24"/>
              <w:lang w:bidi="ar"/>
            </w:rPr>
            <w:fldChar w:fldCharType="end"/>
          </w:r>
        </w:sdtContent>
      </w:sdt>
      <w:r>
        <w:rPr>
          <w:rFonts w:ascii="Times New Roman" w:eastAsia="SimSun" w:hAnsi="Times New Roman" w:cs="Times New Roman"/>
          <w:sz w:val="24"/>
          <w:szCs w:val="24"/>
          <w:lang w:bidi="ar"/>
        </w:rPr>
        <w:t xml:space="preserve">. Indonesia is also a country experiencing the impact of urbanization, the Megacities Jakarta. This urbanization extends to areas around Jakarta or commonly called </w:t>
      </w:r>
      <w:r w:rsidR="0020253B">
        <w:rPr>
          <w:rFonts w:ascii="Times New Roman" w:eastAsia="SimSun" w:hAnsi="Times New Roman" w:cs="Times New Roman"/>
          <w:sz w:val="24"/>
          <w:szCs w:val="24"/>
          <w:lang w:bidi="ar"/>
        </w:rPr>
        <w:t>Jakarta Greater Area</w:t>
      </w:r>
      <w:r>
        <w:rPr>
          <w:rFonts w:ascii="Times New Roman" w:eastAsia="SimSun" w:hAnsi="Times New Roman" w:cs="Times New Roman"/>
          <w:sz w:val="24"/>
          <w:szCs w:val="24"/>
          <w:lang w:bidi="ar"/>
        </w:rPr>
        <w:t xml:space="preserve">, where this area is a combination of Jakarta, Bogor, Depo, Tangerang, and Bekasi </w:t>
      </w:r>
      <w:r>
        <w:rPr>
          <w:rFonts w:ascii="Times New Roman" w:eastAsia="SimSun" w:hAnsi="Times New Roman" w:cs="Times New Roman"/>
          <w:sz w:val="24"/>
          <w:szCs w:val="24"/>
          <w:lang w:bidi="ar"/>
        </w:rPr>
        <w:fldChar w:fldCharType="begin" w:fldLock="1"/>
      </w:r>
      <w:r>
        <w:rPr>
          <w:rFonts w:ascii="Times New Roman" w:eastAsia="SimSun" w:hAnsi="Times New Roman" w:cs="Times New Roman"/>
          <w:sz w:val="24"/>
          <w:szCs w:val="24"/>
          <w:lang w:bidi="ar"/>
        </w:rPr>
        <w:instrText>ADDIN CSL_CITATION {"citationItems":[{"id":"ITEM-1","itemData":{"DOI":"10.1016/j.landusepol.2019.104159","ISSN":"02648377","abstract":"This article analyzes the role of financial sector actors in recent plans for the expansion of the extended urbanizing region around Jakarta. An emergent literature on financialization has argued that, in the contexts of wealthy countries, the politics of the production of urban space has been transformed by capital switching to the urban built environment in the aftermath of the crisis of profitability of industry that deepened in the 1970s. Urban planning and policy, in this view, have increasingly been shaped by the interests of banks, hedge funds, pension funds, and other financial sector actors. This article argues that a focus on the changing role of financial sector actors is highly relevant to the Jakarta case, but that theories of the financialization of urban production must take into account two significant potential sources of variation in urban contexts in the Global South. These are: variation in the role of the state, and especially the national state, in fostering regulatory, fiscal, political, and institutional environments to attract international financial actors; and variation in the sources of finance that are shaping urban outcomes. In the extended Jakarta region, the recent wave of proposals for megaproject infrastructure investments have reflected a historically and contextually specific interaction between financial capital and national state actors who seek to extend their power by maximizing their ability to direct urban development in ways that build political coalitions and feed discourses of state developmentalism. These proposals also reflect the current moment of capital switching from China, which has provided the Indonesian state with an alternative source for, and model of, financing urban development, albeit one that poses distinct geopolitical and financial risks. The result of this combination of circumstances has been a state strategy of engagement of capital, in which the Indonesian state has sought to assert new economic powers through the empowerment of state-owned enterprises (SOEs) in urban development, and in which the state strategically tacks between various sources of capital to maximize its agency and autonomy. The paper illustrates these dynamics through an examination of the Jakarta-Bandung high speed rail project, a 142-kilometer rail project connecting Jakarta and the city of Bandung that is to be financed with loans from the China Development Bank and developed by a consortium if Indonesian and Chine…","author":[{"dropping-particle":"","family":"Shatkin","given":"Gavin","non-dropping-particle":"","parse-names":false,"suffix":""}],"container-title":"Land Use Policy","id":"ITEM-1","issue":"May","issued":{"date-parts":[["2019"]]},"page":"104159","publisher":"Elsevier","title":"Financial sector actors, the state, and the rescaling of Jakarta's extended urban region","type":"article-journal"},"uris":["http://www.mendeley.com/documents/?uuid=a9f4fdb7-3e91-4c9b-8c61-5474750d9bc1"]},{"id":"ITEM-2","itemData":{"abstract":"Kajian tentang Dinamika Kependudukan di Ibukota Jakarta ini adalah memaparkan Perkembangan Kuantitas, Kualitas dan Kesejahteraan Penduduk di Wilayah DKI Jakarta dengan pendekatan Deskriptif dari beragam sudut pandang demografi Ibukota, baik dari segi capaian Indeks Pembangunan Manusia dan kesejahteraan pembangunan untuk kualitas hidup layak. Metode yang digunakan adalah studi kepustakaan (library research) dan analisa dokumenter. Hasil yang dapat diuraikan bahwa perkembangan penduduk penghuni Ibukota yang cukup tinggi dari rata-rata secara nasional. Meskipun demikian peningkatan kualitas hidup penduduk Jakarta tingkat kesejahteraannya masih belum sesuai yang diharapkan.","author":[{"dropping-particle":"","family":"Rahmatulloh","given":"","non-dropping-particle":"","parse-names":false,"suffix":""}],"container-title":"Genta Mulia","id":"ITEM-2","issue":"2","issued":{"date-parts":[["2017"]]},"page":"54-67","title":"Dinamika Kependudukan di Ibukota Jakarta (Deskripsi Perkembangan Kuantitas, Kualitas dan Kesejahteraan Penduduk di DKI Jakarta)","type":"article-journal","volume":"VIII"},"uris":["http://www.mendeley.com/documents/?uuid=c37d687d-b2c1-460d-8cca-ec859e17b18a"]}],"mendeley":{"formattedCitation":"(Rahmatulloh, 2017; Shatkin, 2019)","plainTextFormattedCitation":"(Rahmatulloh, 2017; Shatkin, 2019)","previouslyFormattedCitation":"(Rahmatulloh, 2017; Shatkin, 2019)"},"properties":{"noteIndex":0},"schema":"https://github.com/citation-style-language/schema/raw/master/csl-citation.json"}</w:instrText>
      </w:r>
      <w:r>
        <w:rPr>
          <w:rFonts w:ascii="Times New Roman" w:eastAsia="SimSun" w:hAnsi="Times New Roman" w:cs="Times New Roman"/>
          <w:sz w:val="24"/>
          <w:szCs w:val="24"/>
          <w:lang w:bidi="ar"/>
        </w:rPr>
        <w:fldChar w:fldCharType="separate"/>
      </w:r>
      <w:r>
        <w:rPr>
          <w:rFonts w:ascii="Times New Roman" w:eastAsia="SimSun" w:hAnsi="Times New Roman" w:cs="Times New Roman"/>
          <w:sz w:val="24"/>
          <w:szCs w:val="24"/>
          <w:lang w:bidi="ar"/>
        </w:rPr>
        <w:t>(Rahmatulloh, 2017; Shatkin, 2019)</w:t>
      </w:r>
      <w:r>
        <w:rPr>
          <w:rFonts w:ascii="Times New Roman" w:eastAsia="SimSun" w:hAnsi="Times New Roman" w:cs="Times New Roman"/>
          <w:sz w:val="24"/>
          <w:szCs w:val="24"/>
          <w:lang w:bidi="ar"/>
        </w:rPr>
        <w:fldChar w:fldCharType="end"/>
      </w:r>
      <w:r>
        <w:rPr>
          <w:rFonts w:ascii="Times New Roman" w:eastAsia="SimSun" w:hAnsi="Times New Roman" w:cs="Times New Roman"/>
          <w:sz w:val="24"/>
          <w:szCs w:val="24"/>
          <w:lang w:bidi="ar"/>
        </w:rPr>
        <w:t xml:space="preserve">. </w:t>
      </w:r>
      <w:r w:rsidR="001270A6">
        <w:rPr>
          <w:rFonts w:ascii="Times New Roman" w:eastAsia="SimSun" w:hAnsi="Times New Roman" w:cs="Times New Roman"/>
          <w:sz w:val="24"/>
          <w:szCs w:val="24"/>
          <w:lang w:bidi="ar"/>
        </w:rPr>
        <w:t xml:space="preserve">According to the data of Badan Pusat </w:t>
      </w:r>
      <w:proofErr w:type="spellStart"/>
      <w:r w:rsidR="001270A6">
        <w:rPr>
          <w:rFonts w:ascii="Times New Roman" w:eastAsia="SimSun" w:hAnsi="Times New Roman" w:cs="Times New Roman"/>
          <w:sz w:val="24"/>
          <w:szCs w:val="24"/>
          <w:lang w:bidi="ar"/>
        </w:rPr>
        <w:t>Statistik</w:t>
      </w:r>
      <w:proofErr w:type="spellEnd"/>
      <w:r w:rsidR="001270A6">
        <w:rPr>
          <w:rFonts w:ascii="Times New Roman" w:eastAsia="SimSun" w:hAnsi="Times New Roman" w:cs="Times New Roman"/>
          <w:sz w:val="24"/>
          <w:szCs w:val="24"/>
          <w:lang w:bidi="ar"/>
        </w:rPr>
        <w:t xml:space="preserve"> (BPS), </w:t>
      </w:r>
      <w:r w:rsidR="00C53878">
        <w:rPr>
          <w:rFonts w:ascii="Times New Roman" w:eastAsia="SimSun" w:hAnsi="Times New Roman" w:cs="Times New Roman"/>
          <w:sz w:val="24"/>
          <w:szCs w:val="24"/>
          <w:lang w:bidi="ar"/>
        </w:rPr>
        <w:t xml:space="preserve">the </w:t>
      </w:r>
      <w:r w:rsidR="001270A6">
        <w:rPr>
          <w:rFonts w:ascii="Times New Roman" w:eastAsia="SimSun" w:hAnsi="Times New Roman" w:cs="Times New Roman"/>
          <w:sz w:val="24"/>
          <w:szCs w:val="24"/>
          <w:lang w:bidi="ar"/>
        </w:rPr>
        <w:t>total population in Indonesia in 2018 was 265 million people</w:t>
      </w:r>
      <w:r w:rsidR="00A9593C">
        <w:rPr>
          <w:rFonts w:ascii="Times New Roman" w:eastAsia="SimSun" w:hAnsi="Times New Roman" w:cs="Times New Roman"/>
          <w:sz w:val="24"/>
          <w:szCs w:val="24"/>
          <w:lang w:bidi="ar"/>
        </w:rPr>
        <w:t xml:space="preserve"> </w:t>
      </w:r>
      <w:sdt>
        <w:sdtPr>
          <w:rPr>
            <w:rFonts w:ascii="Times New Roman" w:eastAsia="SimSun" w:hAnsi="Times New Roman" w:cs="Times New Roman"/>
            <w:sz w:val="24"/>
            <w:szCs w:val="24"/>
            <w:lang w:bidi="ar"/>
          </w:rPr>
          <w:id w:val="1720702173"/>
          <w:citation/>
        </w:sdtPr>
        <w:sdtEndPr/>
        <w:sdtContent>
          <w:r w:rsidR="00A9593C">
            <w:rPr>
              <w:rFonts w:ascii="Times New Roman" w:eastAsia="SimSun" w:hAnsi="Times New Roman" w:cs="Times New Roman"/>
              <w:sz w:val="24"/>
              <w:szCs w:val="24"/>
              <w:lang w:bidi="ar"/>
            </w:rPr>
            <w:fldChar w:fldCharType="begin"/>
          </w:r>
          <w:r w:rsidR="00A9593C">
            <w:rPr>
              <w:rFonts w:ascii="Times New Roman" w:eastAsia="SimSun" w:hAnsi="Times New Roman" w:cs="Times New Roman"/>
              <w:sz w:val="24"/>
              <w:szCs w:val="24"/>
              <w:lang w:bidi="ar"/>
            </w:rPr>
            <w:instrText xml:space="preserve"> CITATION BPS191 \l 1033 </w:instrText>
          </w:r>
          <w:r w:rsidR="00A9593C">
            <w:rPr>
              <w:rFonts w:ascii="Times New Roman" w:eastAsia="SimSun" w:hAnsi="Times New Roman" w:cs="Times New Roman"/>
              <w:sz w:val="24"/>
              <w:szCs w:val="24"/>
              <w:lang w:bidi="ar"/>
            </w:rPr>
            <w:fldChar w:fldCharType="separate"/>
          </w:r>
          <w:r w:rsidR="00A9593C" w:rsidRPr="00A9593C">
            <w:rPr>
              <w:rFonts w:ascii="Times New Roman" w:eastAsia="SimSun" w:hAnsi="Times New Roman" w:cs="Times New Roman"/>
              <w:noProof/>
              <w:sz w:val="24"/>
              <w:szCs w:val="24"/>
              <w:lang w:bidi="ar"/>
            </w:rPr>
            <w:t>(BPS, 2019)</w:t>
          </w:r>
          <w:r w:rsidR="00A9593C">
            <w:rPr>
              <w:rFonts w:ascii="Times New Roman" w:eastAsia="SimSun" w:hAnsi="Times New Roman" w:cs="Times New Roman"/>
              <w:sz w:val="24"/>
              <w:szCs w:val="24"/>
              <w:lang w:bidi="ar"/>
            </w:rPr>
            <w:fldChar w:fldCharType="end"/>
          </w:r>
        </w:sdtContent>
      </w:sdt>
      <w:r w:rsidR="001270A6">
        <w:rPr>
          <w:rFonts w:ascii="Times New Roman" w:eastAsia="SimSun" w:hAnsi="Times New Roman" w:cs="Times New Roman"/>
          <w:sz w:val="24"/>
          <w:szCs w:val="24"/>
          <w:lang w:bidi="ar"/>
        </w:rPr>
        <w:t xml:space="preserve">. </w:t>
      </w:r>
      <w:r w:rsidR="00885D62" w:rsidRPr="00885D62">
        <w:rPr>
          <w:rFonts w:ascii="Times New Roman" w:eastAsia="SimSun" w:hAnsi="Times New Roman" w:cs="Times New Roman"/>
          <w:sz w:val="24"/>
          <w:szCs w:val="24"/>
          <w:lang w:bidi="ar"/>
        </w:rPr>
        <w:t xml:space="preserve">Meanwhile, on the island of Java, where there are </w:t>
      </w:r>
      <w:r w:rsidR="00885D62" w:rsidRPr="00885D62">
        <w:rPr>
          <w:rFonts w:ascii="Times New Roman" w:eastAsia="SimSun" w:hAnsi="Times New Roman" w:cs="Times New Roman"/>
          <w:sz w:val="24"/>
          <w:szCs w:val="24"/>
          <w:lang w:bidi="ar"/>
        </w:rPr>
        <w:lastRenderedPageBreak/>
        <w:t>many developed urban areas among other islands, it has a population of 149.6 million in 2018</w:t>
      </w:r>
      <w:r w:rsidR="00A9593C">
        <w:rPr>
          <w:rFonts w:ascii="Times New Roman" w:eastAsia="SimSun" w:hAnsi="Times New Roman" w:cs="Times New Roman"/>
          <w:sz w:val="24"/>
          <w:szCs w:val="24"/>
          <w:lang w:bidi="ar"/>
        </w:rPr>
        <w:t xml:space="preserve"> </w:t>
      </w:r>
      <w:sdt>
        <w:sdtPr>
          <w:rPr>
            <w:rFonts w:ascii="Times New Roman" w:eastAsia="SimSun" w:hAnsi="Times New Roman" w:cs="Times New Roman"/>
            <w:sz w:val="24"/>
            <w:szCs w:val="24"/>
            <w:lang w:bidi="ar"/>
          </w:rPr>
          <w:id w:val="212014872"/>
          <w:citation/>
        </w:sdtPr>
        <w:sdtEndPr/>
        <w:sdtContent>
          <w:r w:rsidR="00A9593C">
            <w:rPr>
              <w:rFonts w:ascii="Times New Roman" w:eastAsia="SimSun" w:hAnsi="Times New Roman" w:cs="Times New Roman"/>
              <w:sz w:val="24"/>
              <w:szCs w:val="24"/>
              <w:lang w:bidi="ar"/>
            </w:rPr>
            <w:fldChar w:fldCharType="begin"/>
          </w:r>
          <w:r w:rsidR="00A9593C">
            <w:rPr>
              <w:rFonts w:ascii="Times New Roman" w:eastAsia="SimSun" w:hAnsi="Times New Roman" w:cs="Times New Roman"/>
              <w:sz w:val="24"/>
              <w:szCs w:val="24"/>
              <w:lang w:bidi="ar"/>
            </w:rPr>
            <w:instrText xml:space="preserve"> CITATION BPS191 \l 1033 </w:instrText>
          </w:r>
          <w:r w:rsidR="00A9593C">
            <w:rPr>
              <w:rFonts w:ascii="Times New Roman" w:eastAsia="SimSun" w:hAnsi="Times New Roman" w:cs="Times New Roman"/>
              <w:sz w:val="24"/>
              <w:szCs w:val="24"/>
              <w:lang w:bidi="ar"/>
            </w:rPr>
            <w:fldChar w:fldCharType="separate"/>
          </w:r>
          <w:r w:rsidR="00A9593C" w:rsidRPr="00A9593C">
            <w:rPr>
              <w:rFonts w:ascii="Times New Roman" w:eastAsia="SimSun" w:hAnsi="Times New Roman" w:cs="Times New Roman"/>
              <w:noProof/>
              <w:sz w:val="24"/>
              <w:szCs w:val="24"/>
              <w:lang w:bidi="ar"/>
            </w:rPr>
            <w:t>(BPS, 2019)</w:t>
          </w:r>
          <w:r w:rsidR="00A9593C">
            <w:rPr>
              <w:rFonts w:ascii="Times New Roman" w:eastAsia="SimSun" w:hAnsi="Times New Roman" w:cs="Times New Roman"/>
              <w:sz w:val="24"/>
              <w:szCs w:val="24"/>
              <w:lang w:bidi="ar"/>
            </w:rPr>
            <w:fldChar w:fldCharType="end"/>
          </w:r>
        </w:sdtContent>
      </w:sdt>
      <w:r w:rsidR="00885D62" w:rsidRPr="00885D62">
        <w:rPr>
          <w:rFonts w:ascii="Times New Roman" w:eastAsia="SimSun" w:hAnsi="Times New Roman" w:cs="Times New Roman"/>
          <w:sz w:val="24"/>
          <w:szCs w:val="24"/>
          <w:lang w:bidi="ar"/>
        </w:rPr>
        <w:t>. This indicates that the majority of Indonesia's population (56%) live</w:t>
      </w:r>
      <w:r w:rsidR="00A9593C">
        <w:rPr>
          <w:rFonts w:ascii="Times New Roman" w:eastAsia="SimSun" w:hAnsi="Times New Roman" w:cs="Times New Roman"/>
          <w:sz w:val="24"/>
          <w:szCs w:val="24"/>
          <w:lang w:bidi="ar"/>
        </w:rPr>
        <w:t>s</w:t>
      </w:r>
      <w:r w:rsidR="00885D62" w:rsidRPr="00885D62">
        <w:rPr>
          <w:rFonts w:ascii="Times New Roman" w:eastAsia="SimSun" w:hAnsi="Times New Roman" w:cs="Times New Roman"/>
          <w:sz w:val="24"/>
          <w:szCs w:val="24"/>
          <w:lang w:bidi="ar"/>
        </w:rPr>
        <w:t xml:space="preserve"> in urban areas.</w:t>
      </w:r>
      <w:r w:rsidR="00885D62">
        <w:rPr>
          <w:rFonts w:ascii="Times New Roman" w:eastAsia="SimSun" w:hAnsi="Times New Roman" w:cs="Times New Roman"/>
          <w:sz w:val="24"/>
          <w:szCs w:val="24"/>
          <w:lang w:bidi="ar"/>
        </w:rPr>
        <w:t xml:space="preserve"> </w:t>
      </w:r>
      <w:r>
        <w:rPr>
          <w:rFonts w:ascii="Times New Roman" w:eastAsia="SimSun" w:hAnsi="Times New Roman" w:cs="Times New Roman"/>
          <w:sz w:val="24"/>
          <w:szCs w:val="24"/>
          <w:lang w:bidi="ar"/>
        </w:rPr>
        <w:t xml:space="preserve">The rapid growth of the city is followed by the need for the development of supporting facilities, from infrastructure development, transportation, education, health services, and socio-economy </w:t>
      </w:r>
      <w:sdt>
        <w:sdtPr>
          <w:rPr>
            <w:rFonts w:ascii="Times New Roman" w:eastAsia="SimSun" w:hAnsi="Times New Roman" w:cs="Times New Roman"/>
            <w:sz w:val="24"/>
            <w:szCs w:val="24"/>
            <w:lang w:bidi="ar"/>
          </w:rPr>
          <w:id w:val="-2060008793"/>
        </w:sdtPr>
        <w:sdtEndPr/>
        <w:sdtContent>
          <w:r>
            <w:rPr>
              <w:rFonts w:ascii="Times New Roman" w:eastAsia="SimSun" w:hAnsi="Times New Roman" w:cs="Times New Roman"/>
              <w:sz w:val="24"/>
              <w:szCs w:val="24"/>
              <w:lang w:bidi="ar"/>
            </w:rPr>
            <w:fldChar w:fldCharType="begin"/>
          </w:r>
          <w:r>
            <w:rPr>
              <w:rFonts w:ascii="Times New Roman" w:eastAsia="SimSun" w:hAnsi="Times New Roman" w:cs="Times New Roman"/>
              <w:sz w:val="24"/>
              <w:szCs w:val="24"/>
              <w:lang w:bidi="ar"/>
            </w:rPr>
            <w:instrText xml:space="preserve"> CITATION Rah17 \l 1033 </w:instrText>
          </w:r>
          <w:r>
            <w:rPr>
              <w:rFonts w:ascii="Times New Roman" w:eastAsia="SimSun" w:hAnsi="Times New Roman" w:cs="Times New Roman"/>
              <w:sz w:val="24"/>
              <w:szCs w:val="24"/>
              <w:lang w:bidi="ar"/>
            </w:rPr>
            <w:fldChar w:fldCharType="separate"/>
          </w:r>
          <w:r>
            <w:rPr>
              <w:rFonts w:ascii="Times New Roman" w:eastAsia="SimSun" w:hAnsi="Times New Roman" w:cs="Times New Roman"/>
              <w:sz w:val="24"/>
              <w:szCs w:val="24"/>
              <w:lang w:bidi="ar"/>
            </w:rPr>
            <w:t>(Rahmatulloh, 2017)</w:t>
          </w:r>
          <w:r>
            <w:rPr>
              <w:rFonts w:ascii="Times New Roman" w:eastAsia="SimSun" w:hAnsi="Times New Roman" w:cs="Times New Roman"/>
              <w:sz w:val="24"/>
              <w:szCs w:val="24"/>
              <w:lang w:bidi="ar"/>
            </w:rPr>
            <w:fldChar w:fldCharType="end"/>
          </w:r>
        </w:sdtContent>
      </w:sdt>
      <w:r>
        <w:rPr>
          <w:rFonts w:ascii="Times New Roman" w:eastAsia="SimSun" w:hAnsi="Times New Roman" w:cs="Times New Roman"/>
          <w:sz w:val="24"/>
          <w:szCs w:val="24"/>
          <w:lang w:bidi="ar"/>
        </w:rPr>
        <w:t>.</w:t>
      </w:r>
    </w:p>
    <w:p w14:paraId="0610CCB1" w14:textId="3D92FD5D" w:rsidR="00687CB5" w:rsidRDefault="0088594F" w:rsidP="00D23533">
      <w:pPr>
        <w:ind w:leftChars="64" w:left="141" w:firstLine="1"/>
        <w:jc w:val="both"/>
        <w:rPr>
          <w:rFonts w:ascii="Times New Roman" w:eastAsia="SimSun" w:hAnsi="Times New Roman" w:cs="Times New Roman"/>
          <w:sz w:val="24"/>
          <w:szCs w:val="24"/>
          <w:lang w:bidi="ar"/>
        </w:rPr>
      </w:pPr>
      <w:r>
        <w:rPr>
          <w:rFonts w:ascii="Times New Roman" w:eastAsia="SimSun" w:hAnsi="Times New Roman" w:cs="Times New Roman"/>
          <w:sz w:val="24"/>
          <w:szCs w:val="24"/>
          <w:lang w:bidi="ar"/>
        </w:rPr>
        <w:t xml:space="preserve">The most rapidly growing facility is seen in infrastructure development in the transportation sector. </w:t>
      </w:r>
      <w:r w:rsidR="00C53878">
        <w:rPr>
          <w:rFonts w:ascii="Times New Roman" w:eastAsia="SimSun" w:hAnsi="Times New Roman" w:cs="Times New Roman"/>
          <w:sz w:val="24"/>
          <w:szCs w:val="24"/>
          <w:lang w:bidi="ar"/>
        </w:rPr>
        <w:t>Several</w:t>
      </w:r>
      <w:r>
        <w:rPr>
          <w:rFonts w:ascii="Times New Roman" w:eastAsia="SimSun" w:hAnsi="Times New Roman" w:cs="Times New Roman"/>
          <w:sz w:val="24"/>
          <w:szCs w:val="24"/>
          <w:lang w:bidi="ar"/>
        </w:rPr>
        <w:t xml:space="preserve"> studies have focused on the relationship between urban forms and the transport system. The key to sustainable urban development is where the center of activity can occur in the same location between housing, work, education, and others </w:t>
      </w:r>
      <w:r>
        <w:rPr>
          <w:rFonts w:ascii="Times New Roman" w:eastAsia="SimSun" w:hAnsi="Times New Roman" w:cs="Times New Roman"/>
          <w:sz w:val="24"/>
          <w:szCs w:val="24"/>
          <w:lang w:bidi="ar"/>
        </w:rPr>
        <w:fldChar w:fldCharType="begin" w:fldLock="1"/>
      </w:r>
      <w:r>
        <w:rPr>
          <w:rFonts w:ascii="Times New Roman" w:eastAsia="SimSun" w:hAnsi="Times New Roman" w:cs="Times New Roman"/>
          <w:sz w:val="24"/>
          <w:szCs w:val="24"/>
          <w:lang w:bidi="ar"/>
        </w:rPr>
        <w:instrText>ADDIN CSL_CITATION {"citationItems":[{"id":"ITEM-1","itemData":{"DOI":"10.1016/j.cities.2019.102452","ISSN":"02642751","abstract":"Private automobiles have been wildly popular around the world and have transformed the concept of personal mobility for the affluent. However, automobile-oriented development patterns have demonstrably degraded the quality of the city environment. The economic burden of transport infrastructure asset management, plus air pollution, CO2 emissions and congestion are pressing issues for all cities. City planners struggle with the issues of growth in travel demand and the costs of providing traffic management, parking, policing, and emergency services. The future of personal vehicle mobility and goods movements are particularly challenging, and it is difficult to imagine what the sustainable solutions could be for these wicked problems of transport in megacities. This paper explores urban form, transport activity and quality of life in future cities through the emerging discipline, Transition Engineering. The main methodology is the Interdisciplinary Transition Innovation, Management and Engineering (InTIME) approach, the outcome of which are innovative shift projects that directly step down the negative factors and step up in the quality of life while maintaining the access to social and economic activities. One shift project in Beijing is a new “Work Unit Retrofit” property development enterprise. Integrated land use is a popular idea, but the shift projects in this research answer the questions of “how” the transition to the future city occurs. This research demonstrates the new Transition Engineering approach to sustainable city development that results in actionable property and infrastructure development with financial and social benefits that can be clearly communicated to all stakeholders.","author":[{"dropping-particle":"","family":"Bai","given":"Ming","non-dropping-particle":"","parse-names":false,"suffix":""},{"dropping-particle":"","family":"Krumdieck","given":"Susan","non-dropping-particle":"","parse-names":false,"suffix":""}],"container-title":"Cities","id":"ITEM-1","issue":"September 2019","issued":{"date-parts":[["2020"]]},"page":"102452","publisher":"Elsevier","title":"Transition engineering of transport in megacities with case study on commuting in Beijing","type":"article-journal","volume":"96"},"uris":["http://www.mendeley.com/documents/?uuid=1983fec5-24ca-4a09-9d0d-5d575760a82f"]}],"mendeley":{"formattedCitation":"(Bai &amp; Krumdieck, 2020)","plainTextFormattedCitation":"(Bai &amp; Krumdieck, 2020)","previouslyFormattedCitation":"(Bai &amp; Krumdieck, 2020)"},"properties":{"noteIndex":0},"schema":"https://github.com/citation-style-language/schema/raw/master/csl-citation.json"}</w:instrText>
      </w:r>
      <w:r>
        <w:rPr>
          <w:rFonts w:ascii="Times New Roman" w:eastAsia="SimSun" w:hAnsi="Times New Roman" w:cs="Times New Roman"/>
          <w:sz w:val="24"/>
          <w:szCs w:val="24"/>
          <w:lang w:bidi="ar"/>
        </w:rPr>
        <w:fldChar w:fldCharType="separate"/>
      </w:r>
      <w:r>
        <w:rPr>
          <w:rFonts w:ascii="Times New Roman" w:eastAsia="SimSun" w:hAnsi="Times New Roman" w:cs="Times New Roman"/>
          <w:sz w:val="24"/>
          <w:szCs w:val="24"/>
          <w:lang w:bidi="ar"/>
        </w:rPr>
        <w:t>(Bai &amp; Krumdieck, 2020)</w:t>
      </w:r>
      <w:r>
        <w:rPr>
          <w:rFonts w:ascii="Times New Roman" w:eastAsia="SimSun" w:hAnsi="Times New Roman" w:cs="Times New Roman"/>
          <w:sz w:val="24"/>
          <w:szCs w:val="24"/>
          <w:lang w:bidi="ar"/>
        </w:rPr>
        <w:fldChar w:fldCharType="end"/>
      </w:r>
      <w:r>
        <w:rPr>
          <w:rFonts w:ascii="Times New Roman" w:eastAsia="SimSun" w:hAnsi="Times New Roman" w:cs="Times New Roman"/>
          <w:sz w:val="24"/>
          <w:szCs w:val="24"/>
          <w:lang w:bidi="ar"/>
        </w:rPr>
        <w:t xml:space="preserve">. </w:t>
      </w:r>
      <w:r w:rsidR="00C53878">
        <w:rPr>
          <w:rFonts w:ascii="Times New Roman" w:eastAsia="SimSun" w:hAnsi="Times New Roman" w:cs="Times New Roman"/>
          <w:sz w:val="24"/>
          <w:szCs w:val="24"/>
          <w:lang w:bidi="ar"/>
        </w:rPr>
        <w:t>C</w:t>
      </w:r>
      <w:r>
        <w:rPr>
          <w:rFonts w:ascii="Times New Roman" w:eastAsia="SimSun" w:hAnsi="Times New Roman" w:cs="Times New Roman"/>
          <w:sz w:val="24"/>
          <w:szCs w:val="24"/>
          <w:lang w:bidi="ar"/>
        </w:rPr>
        <w:t>urrently</w:t>
      </w:r>
      <w:r w:rsidR="00C53878">
        <w:rPr>
          <w:rFonts w:ascii="Times New Roman" w:eastAsia="SimSun" w:hAnsi="Times New Roman" w:cs="Times New Roman"/>
          <w:sz w:val="24"/>
          <w:szCs w:val="24"/>
          <w:lang w:bidi="ar"/>
        </w:rPr>
        <w:t>,</w:t>
      </w:r>
      <w:r>
        <w:rPr>
          <w:rFonts w:ascii="Times New Roman" w:eastAsia="SimSun" w:hAnsi="Times New Roman" w:cs="Times New Roman"/>
          <w:sz w:val="24"/>
          <w:szCs w:val="24"/>
          <w:lang w:bidi="ar"/>
        </w:rPr>
        <w:t xml:space="preserve"> access </w:t>
      </w:r>
      <w:r w:rsidR="00481476">
        <w:rPr>
          <w:rFonts w:ascii="Times New Roman" w:eastAsia="SimSun" w:hAnsi="Times New Roman" w:cs="Times New Roman"/>
          <w:sz w:val="24"/>
          <w:szCs w:val="24"/>
          <w:lang w:bidi="ar"/>
        </w:rPr>
        <w:t>to</w:t>
      </w:r>
      <w:r w:rsidR="00481476">
        <w:rPr>
          <w:rFonts w:ascii="Times New Roman" w:eastAsia="SimSun" w:hAnsi="Times New Roman" w:cs="Times New Roman"/>
          <w:sz w:val="24"/>
          <w:szCs w:val="24"/>
          <w:lang w:bidi="ar"/>
        </w:rPr>
        <w:t xml:space="preserve"> </w:t>
      </w:r>
      <w:r>
        <w:rPr>
          <w:rFonts w:ascii="Times New Roman" w:eastAsia="SimSun" w:hAnsi="Times New Roman" w:cs="Times New Roman"/>
          <w:sz w:val="24"/>
          <w:szCs w:val="24"/>
          <w:lang w:bidi="ar"/>
        </w:rPr>
        <w:t>housing, school</w:t>
      </w:r>
      <w:r w:rsidR="00C53878">
        <w:rPr>
          <w:rFonts w:ascii="Times New Roman" w:eastAsia="SimSun" w:hAnsi="Times New Roman" w:cs="Times New Roman"/>
          <w:sz w:val="24"/>
          <w:szCs w:val="24"/>
          <w:lang w:bidi="ar"/>
        </w:rPr>
        <w:t>,</w:t>
      </w:r>
      <w:r>
        <w:rPr>
          <w:rFonts w:ascii="Times New Roman" w:eastAsia="SimSun" w:hAnsi="Times New Roman" w:cs="Times New Roman"/>
          <w:sz w:val="24"/>
          <w:szCs w:val="24"/>
          <w:lang w:bidi="ar"/>
        </w:rPr>
        <w:t xml:space="preserve"> and work areas is not possible by simply walking and cycling, which leads to long trips to work and housing sites. For example, residents who live outside the city of Jakarta have to travel by car or train to get to work locations. The population mostly chooses to use private vehicles to travel long distances to work locations, especially residents who live outside urban centers. This indicates the importance of transportation in everyday life, where transportation makes it easy for users to minimize the duration of moving from one place to another. The choice of transportation is also a consideration for residents to get to their destination quickly and safely </w:t>
      </w:r>
      <w:r>
        <w:rPr>
          <w:rFonts w:ascii="Times New Roman" w:eastAsia="SimSun" w:hAnsi="Times New Roman" w:cs="Times New Roman"/>
          <w:sz w:val="24"/>
          <w:szCs w:val="24"/>
          <w:lang w:bidi="ar"/>
        </w:rPr>
        <w:fldChar w:fldCharType="begin" w:fldLock="1"/>
      </w:r>
      <w:r>
        <w:rPr>
          <w:rFonts w:ascii="Times New Roman" w:eastAsia="SimSun" w:hAnsi="Times New Roman" w:cs="Times New Roman"/>
          <w:sz w:val="24"/>
          <w:szCs w:val="24"/>
          <w:lang w:bidi="ar"/>
        </w:rPr>
        <w:instrText>ADDIN CSL_CITATION {"citationItems":[{"id":"ITEM-1","itemData":{"DOI":"10.1016/j.jtrangeo.2013.09.014","ISSN":"09666923","abstract":"Travel can affect land use just as land use affects travel behaviour of people. Low-cost travel, especially resulting from transportation improvements since the nineteenth century, has resulted in long-distance travel and urban sprawl, bringing along negative aspects such as traffic congestion and air pollution, but also reductions in biodiversity and public health. In order to try to partly reverse this process, the supply of infrastructure and public transportation can no longer follow the demand of transportation; the supply has to steer the demand. Infrastructure and high-quality public transportation should be clustered in and between large and regional cities. Increasing travel costs for car use (e.g., road pricing) can positively affect travel distances and travel mode choice, but also long-term decisions such as the residential location choice, stimulating compact, mixed-use developments. In this paper, we focus on Flanders, Belgium, a region where mobility policies stimulated long-distance travel and limited land use regulations did not hinder urban sprawl. Increasing travel costs combined with a more active spatial planning policy and a stronger cooperation between mobility policy and spatial planning can help to decrease car use and urban sprawl, but also change the way in which people perceive travel. © 2013 Elsevier Ltd.","author":[{"dropping-particle":"","family":"Vos","given":"Jonas","non-dropping-particle":"De","parse-names":false,"suffix":""},{"dropping-particle":"","family":"Witlox","given":"Frank","non-dropping-particle":"","parse-names":false,"suffix":""}],"container-title":"Journal of Transport Geography","id":"ITEM-1","issued":{"date-parts":[["2013"]]},"page":"117-125","publisher":"Elsevier Ltd","title":"Transportation policy as spatial planning tool; Reducing urban sprawl by increasing travel costs and clustering infrastructure and public transportation","type":"article-journal","volume":"33"},"uris":["http://www.mendeley.com/documents/?uuid=5fe1d653-7b8a-46ae-a7bb-1f26bb5cf21a"]}],"mendeley":{"formattedCitation":"(De Vos &amp; Witlox, 2013)","plainTextFormattedCitation":"(De Vos &amp; Witlox, 2013)","previouslyFormattedCitation":"(De Vos &amp; Witlox, 2013)"},"properties":{"noteIndex":0},"schema":"https://github.com/citation-style-language/schema/raw/master/csl-citation.json"}</w:instrText>
      </w:r>
      <w:r>
        <w:rPr>
          <w:rFonts w:ascii="Times New Roman" w:eastAsia="SimSun" w:hAnsi="Times New Roman" w:cs="Times New Roman"/>
          <w:sz w:val="24"/>
          <w:szCs w:val="24"/>
          <w:lang w:bidi="ar"/>
        </w:rPr>
        <w:fldChar w:fldCharType="separate"/>
      </w:r>
      <w:r>
        <w:rPr>
          <w:rFonts w:ascii="Times New Roman" w:eastAsia="SimSun" w:hAnsi="Times New Roman" w:cs="Times New Roman"/>
          <w:sz w:val="24"/>
          <w:szCs w:val="24"/>
          <w:lang w:bidi="ar"/>
        </w:rPr>
        <w:t>(De Vos &amp; Witlox, 2013)</w:t>
      </w:r>
      <w:r>
        <w:rPr>
          <w:rFonts w:ascii="Times New Roman" w:eastAsia="SimSun" w:hAnsi="Times New Roman" w:cs="Times New Roman"/>
          <w:sz w:val="24"/>
          <w:szCs w:val="24"/>
          <w:lang w:bidi="ar"/>
        </w:rPr>
        <w:fldChar w:fldCharType="end"/>
      </w:r>
      <w:r>
        <w:rPr>
          <w:rFonts w:ascii="Times New Roman" w:eastAsia="SimSun" w:hAnsi="Times New Roman" w:cs="Times New Roman"/>
          <w:sz w:val="24"/>
          <w:szCs w:val="24"/>
          <w:lang w:bidi="ar"/>
        </w:rPr>
        <w:t>.</w:t>
      </w:r>
    </w:p>
    <w:p w14:paraId="4D894CEF" w14:textId="3102CF92" w:rsidR="00687CB5" w:rsidRDefault="0088594F" w:rsidP="00D23533">
      <w:pPr>
        <w:ind w:leftChars="64" w:left="141" w:firstLine="1"/>
        <w:jc w:val="both"/>
        <w:rPr>
          <w:rFonts w:ascii="Times New Roman" w:eastAsia="SimSun" w:hAnsi="Times New Roman" w:cs="Times New Roman"/>
          <w:sz w:val="24"/>
          <w:szCs w:val="24"/>
          <w:lang w:bidi="ar"/>
        </w:rPr>
      </w:pPr>
      <w:r>
        <w:rPr>
          <w:rFonts w:ascii="Times New Roman" w:eastAsia="SimSun" w:hAnsi="Times New Roman" w:cs="Times New Roman"/>
          <w:sz w:val="24"/>
          <w:szCs w:val="24"/>
          <w:lang w:bidi="ar"/>
        </w:rPr>
        <w:t xml:space="preserve">Currently, there are quite </w:t>
      </w:r>
      <w:r w:rsidR="00C53878">
        <w:rPr>
          <w:rFonts w:ascii="Times New Roman" w:eastAsia="SimSun" w:hAnsi="Times New Roman" w:cs="Times New Roman"/>
          <w:sz w:val="24"/>
          <w:szCs w:val="24"/>
          <w:lang w:bidi="ar"/>
        </w:rPr>
        <w:t>some</w:t>
      </w:r>
      <w:r>
        <w:rPr>
          <w:rFonts w:ascii="Times New Roman" w:eastAsia="SimSun" w:hAnsi="Times New Roman" w:cs="Times New Roman"/>
          <w:sz w:val="24"/>
          <w:szCs w:val="24"/>
          <w:lang w:bidi="ar"/>
        </w:rPr>
        <w:t xml:space="preserve"> transportation options available in urban areas. Starting from the use of private cars, busways, taxis, electric trains, planes, boats, MRT, LRT, motorbikes, to bicycles </w:t>
      </w:r>
      <w:sdt>
        <w:sdtPr>
          <w:rPr>
            <w:rFonts w:ascii="Times New Roman" w:eastAsia="SimSun" w:hAnsi="Times New Roman" w:cs="Times New Roman"/>
            <w:sz w:val="24"/>
            <w:szCs w:val="24"/>
            <w:lang w:bidi="ar"/>
          </w:rPr>
          <w:id w:val="885457331"/>
        </w:sdtPr>
        <w:sdtEndPr/>
        <w:sdtContent>
          <w:r>
            <w:rPr>
              <w:rFonts w:ascii="Times New Roman" w:eastAsia="SimSun" w:hAnsi="Times New Roman" w:cs="Times New Roman"/>
              <w:sz w:val="24"/>
              <w:szCs w:val="24"/>
              <w:lang w:bidi="ar"/>
            </w:rPr>
            <w:fldChar w:fldCharType="begin"/>
          </w:r>
          <w:r>
            <w:rPr>
              <w:rFonts w:ascii="Times New Roman" w:eastAsia="SimSun" w:hAnsi="Times New Roman" w:cs="Times New Roman"/>
              <w:sz w:val="24"/>
              <w:szCs w:val="24"/>
              <w:lang w:bidi="ar"/>
            </w:rPr>
            <w:instrText xml:space="preserve"> CITATION BPS18 \l 1033 </w:instrText>
          </w:r>
          <w:r>
            <w:rPr>
              <w:rFonts w:ascii="Times New Roman" w:eastAsia="SimSun" w:hAnsi="Times New Roman" w:cs="Times New Roman"/>
              <w:sz w:val="24"/>
              <w:szCs w:val="24"/>
              <w:lang w:bidi="ar"/>
            </w:rPr>
            <w:fldChar w:fldCharType="separate"/>
          </w:r>
          <w:r>
            <w:rPr>
              <w:rFonts w:ascii="Times New Roman" w:eastAsia="SimSun" w:hAnsi="Times New Roman" w:cs="Times New Roman"/>
              <w:sz w:val="24"/>
              <w:szCs w:val="24"/>
              <w:lang w:bidi="ar"/>
            </w:rPr>
            <w:t>(BPS Provinsi DKI Jakarta, 2018)</w:t>
          </w:r>
          <w:r>
            <w:rPr>
              <w:rFonts w:ascii="Times New Roman" w:eastAsia="SimSun" w:hAnsi="Times New Roman" w:cs="Times New Roman"/>
              <w:sz w:val="24"/>
              <w:szCs w:val="24"/>
              <w:lang w:bidi="ar"/>
            </w:rPr>
            <w:fldChar w:fldCharType="end"/>
          </w:r>
        </w:sdtContent>
      </w:sdt>
      <w:r>
        <w:rPr>
          <w:rFonts w:ascii="Times New Roman" w:eastAsia="SimSun" w:hAnsi="Times New Roman" w:cs="Times New Roman"/>
          <w:sz w:val="24"/>
          <w:szCs w:val="24"/>
          <w:lang w:bidi="ar"/>
        </w:rPr>
        <w:t xml:space="preserve">. The use of transportation that is used every day turns out to have an impact on the environment, the biggest impact is air pollution. According to the Ministry of Environment and Forestry (KLHK), the use of motorized vehicles is the biggest contributor to pollution in the capital city of Jakarta </w:t>
      </w:r>
      <w:sdt>
        <w:sdtPr>
          <w:rPr>
            <w:rFonts w:ascii="Times New Roman" w:eastAsia="SimSun" w:hAnsi="Times New Roman" w:cs="Times New Roman"/>
            <w:sz w:val="24"/>
            <w:szCs w:val="24"/>
            <w:lang w:bidi="ar"/>
          </w:rPr>
          <w:id w:val="1661120034"/>
        </w:sdtPr>
        <w:sdtEndPr/>
        <w:sdtContent>
          <w:r>
            <w:rPr>
              <w:rFonts w:ascii="Times New Roman" w:eastAsia="SimSun" w:hAnsi="Times New Roman" w:cs="Times New Roman"/>
              <w:sz w:val="24"/>
              <w:szCs w:val="24"/>
              <w:lang w:bidi="ar"/>
            </w:rPr>
            <w:fldChar w:fldCharType="begin"/>
          </w:r>
          <w:r>
            <w:rPr>
              <w:rFonts w:ascii="Times New Roman" w:eastAsia="SimSun" w:hAnsi="Times New Roman" w:cs="Times New Roman"/>
              <w:sz w:val="24"/>
              <w:szCs w:val="24"/>
              <w:lang w:bidi="ar"/>
            </w:rPr>
            <w:instrText xml:space="preserve"> CITATION Nis19 \l 1033 </w:instrText>
          </w:r>
          <w:r>
            <w:rPr>
              <w:rFonts w:ascii="Times New Roman" w:eastAsia="SimSun" w:hAnsi="Times New Roman" w:cs="Times New Roman"/>
              <w:sz w:val="24"/>
              <w:szCs w:val="24"/>
              <w:lang w:bidi="ar"/>
            </w:rPr>
            <w:fldChar w:fldCharType="separate"/>
          </w:r>
          <w:r>
            <w:rPr>
              <w:rFonts w:ascii="Times New Roman" w:eastAsia="SimSun" w:hAnsi="Times New Roman" w:cs="Times New Roman"/>
              <w:sz w:val="24"/>
              <w:szCs w:val="24"/>
              <w:lang w:bidi="ar"/>
            </w:rPr>
            <w:t>(Nisa, 2019)</w:t>
          </w:r>
          <w:r>
            <w:rPr>
              <w:rFonts w:ascii="Times New Roman" w:eastAsia="SimSun" w:hAnsi="Times New Roman" w:cs="Times New Roman"/>
              <w:sz w:val="24"/>
              <w:szCs w:val="24"/>
              <w:lang w:bidi="ar"/>
            </w:rPr>
            <w:fldChar w:fldCharType="end"/>
          </w:r>
        </w:sdtContent>
      </w:sdt>
      <w:r>
        <w:rPr>
          <w:rFonts w:ascii="Times New Roman" w:eastAsia="SimSun" w:hAnsi="Times New Roman" w:cs="Times New Roman"/>
          <w:sz w:val="24"/>
          <w:szCs w:val="24"/>
          <w:lang w:bidi="ar"/>
        </w:rPr>
        <w:t xml:space="preserve">. </w:t>
      </w:r>
      <w:r w:rsidR="00C53878">
        <w:rPr>
          <w:rFonts w:ascii="Times New Roman" w:eastAsia="SimSun" w:hAnsi="Times New Roman" w:cs="Times New Roman"/>
          <w:sz w:val="24"/>
          <w:szCs w:val="24"/>
          <w:lang w:bidi="ar"/>
        </w:rPr>
        <w:t>Also</w:t>
      </w:r>
      <w:r>
        <w:rPr>
          <w:rFonts w:ascii="Times New Roman" w:eastAsia="SimSun" w:hAnsi="Times New Roman" w:cs="Times New Roman"/>
          <w:sz w:val="24"/>
          <w:szCs w:val="24"/>
          <w:lang w:bidi="ar"/>
        </w:rPr>
        <w:t xml:space="preserve">, the high use of private transportation has a severe impact on congestion in urban areas. According to the Union of Concerned Scientists (2014), pollution and contamination that occurs in cities in the United States </w:t>
      </w:r>
      <w:r w:rsidR="00C53878">
        <w:rPr>
          <w:rFonts w:ascii="Times New Roman" w:eastAsia="SimSun" w:hAnsi="Times New Roman" w:cs="Times New Roman"/>
          <w:sz w:val="24"/>
          <w:szCs w:val="24"/>
          <w:lang w:bidi="ar"/>
        </w:rPr>
        <w:t xml:space="preserve">are </w:t>
      </w:r>
      <w:r>
        <w:rPr>
          <w:rFonts w:ascii="Times New Roman" w:eastAsia="SimSun" w:hAnsi="Times New Roman" w:cs="Times New Roman"/>
          <w:sz w:val="24"/>
          <w:szCs w:val="24"/>
          <w:lang w:bidi="ar"/>
        </w:rPr>
        <w:t xml:space="preserve">mostly caused by the transportation used by its residents </w:t>
      </w:r>
      <w:r>
        <w:rPr>
          <w:rFonts w:ascii="Times New Roman" w:eastAsia="SimSun" w:hAnsi="Times New Roman" w:cs="Times New Roman"/>
          <w:sz w:val="24"/>
          <w:szCs w:val="24"/>
          <w:lang w:bidi="ar"/>
        </w:rPr>
        <w:fldChar w:fldCharType="begin" w:fldLock="1"/>
      </w:r>
      <w:r>
        <w:rPr>
          <w:rFonts w:ascii="Times New Roman" w:eastAsia="SimSun" w:hAnsi="Times New Roman" w:cs="Times New Roman"/>
          <w:sz w:val="24"/>
          <w:szCs w:val="24"/>
          <w:lang w:bidi="ar"/>
        </w:rPr>
        <w:instrText>ADDIN CSL_CITATION {"citationItems":[{"id":"ITEM-1","itemData":{"DOI":"10.1016/j.cities.2019.102452","ISSN":"02642751","abstract":"Private automobiles have been wildly popular around the world and have transformed the concept of personal mobility for the affluent. However, automobile-oriented development patterns have demonstrably degraded the quality of the city environment. The economic burden of transport infrastructure asset management, plus air pollution, CO2 emissions and congestion are pressing issues for all cities. City planners struggle with the issues of growth in travel demand and the costs of providing traffic management, parking, policing, and emergency services. The future of personal vehicle mobility and goods movements are particularly challenging, and it is difficult to imagine what the sustainable solutions could be for these wicked problems of transport in megacities. This paper explores urban form, transport activity and quality of life in future cities through the emerging discipline, Transition Engineering. The main methodology is the Interdisciplinary Transition Innovation, Management and Engineering (InTIME) approach, the outcome of which are innovative shift projects that directly step down the negative factors and step up in the quality of life while maintaining the access to social and economic activities. One shift project in Beijing is a new “Work Unit Retrofit” property development enterprise. Integrated land use is a popular idea, but the shift projects in this research answer the questions of “how” the transition to the future city occurs. This research demonstrates the new Transition Engineering approach to sustainable city development that results in actionable property and infrastructure development with financial and social benefits that can be clearly communicated to all stakeholders.","author":[{"dropping-particle":"","family":"Bai","given":"Ming","non-dropping-particle":"","parse-names":false,"suffix":""},{"dropping-particle":"","family":"Krumdieck","given":"Susan","non-dropping-particle":"","parse-names":false,"suffix":""}],"container-title":"Cities","id":"ITEM-1","issue":"September 2019","issued":{"date-parts":[["2020"]]},"page":"102452","publisher":"Elsevier","title":"Transition engineering of transport in megacities with case study on commuting in Beijing","type":"article-journal","volume":"96"},"uris":["http://www.mendeley.com/documents/?uuid=1983fec5-24ca-4a09-9d0d-5d575760a82f"]}],"mendeley":{"formattedCitation":"(Bai &amp; Krumdieck, 2020)","plainTextFormattedCitation":"(Bai &amp; Krumdieck, 2020)","previouslyFormattedCitation":"(Bai &amp; Krumdieck, 2020)"},"properties":{"noteIndex":0},"schema":"https://github.com/citation-style-language/schema/raw/master/csl-citation.json"}</w:instrText>
      </w:r>
      <w:r>
        <w:rPr>
          <w:rFonts w:ascii="Times New Roman" w:eastAsia="SimSun" w:hAnsi="Times New Roman" w:cs="Times New Roman"/>
          <w:sz w:val="24"/>
          <w:szCs w:val="24"/>
          <w:lang w:bidi="ar"/>
        </w:rPr>
        <w:fldChar w:fldCharType="separate"/>
      </w:r>
      <w:r>
        <w:rPr>
          <w:rFonts w:ascii="Times New Roman" w:eastAsia="SimSun" w:hAnsi="Times New Roman" w:cs="Times New Roman"/>
          <w:sz w:val="24"/>
          <w:szCs w:val="24"/>
          <w:lang w:bidi="ar"/>
        </w:rPr>
        <w:t>(Bai &amp; Krumdieck, 2020)</w:t>
      </w:r>
      <w:r>
        <w:rPr>
          <w:rFonts w:ascii="Times New Roman" w:eastAsia="SimSun" w:hAnsi="Times New Roman" w:cs="Times New Roman"/>
          <w:sz w:val="24"/>
          <w:szCs w:val="24"/>
          <w:lang w:bidi="ar"/>
        </w:rPr>
        <w:fldChar w:fldCharType="end"/>
      </w:r>
      <w:r>
        <w:rPr>
          <w:rFonts w:ascii="Times New Roman" w:eastAsia="SimSun" w:hAnsi="Times New Roman" w:cs="Times New Roman"/>
          <w:sz w:val="24"/>
          <w:szCs w:val="24"/>
          <w:lang w:bidi="ar"/>
        </w:rPr>
        <w:t xml:space="preserve">. </w:t>
      </w:r>
      <w:r w:rsidR="00481476">
        <w:rPr>
          <w:rFonts w:ascii="Times New Roman" w:eastAsia="SimSun" w:hAnsi="Times New Roman" w:cs="Times New Roman"/>
          <w:sz w:val="24"/>
          <w:szCs w:val="24"/>
          <w:lang w:bidi="ar"/>
        </w:rPr>
        <w:t>T</w:t>
      </w:r>
      <w:r w:rsidR="00481476">
        <w:rPr>
          <w:rFonts w:ascii="Times New Roman" w:eastAsia="SimSun" w:hAnsi="Times New Roman" w:cs="Times New Roman"/>
          <w:sz w:val="24"/>
          <w:szCs w:val="24"/>
          <w:lang w:bidi="ar"/>
        </w:rPr>
        <w:t>he high number of car use has resulted in a greater impact on environmental disruption, high congestion, limitations in economic growth, and uncontrolled population growth for decades</w:t>
      </w:r>
      <w:r w:rsidR="00481476" w:rsidDel="00481476">
        <w:rPr>
          <w:rFonts w:ascii="Times New Roman" w:eastAsia="SimSun" w:hAnsi="Times New Roman" w:cs="Times New Roman"/>
          <w:sz w:val="24"/>
          <w:szCs w:val="24"/>
          <w:lang w:bidi="ar"/>
        </w:rPr>
        <w:t xml:space="preserve"> </w:t>
      </w:r>
      <w:r>
        <w:rPr>
          <w:rFonts w:ascii="Times New Roman" w:eastAsia="SimSun" w:hAnsi="Times New Roman" w:cs="Times New Roman"/>
          <w:sz w:val="24"/>
          <w:szCs w:val="24"/>
          <w:lang w:bidi="ar"/>
        </w:rPr>
        <w:fldChar w:fldCharType="begin" w:fldLock="1"/>
      </w:r>
      <w:r>
        <w:rPr>
          <w:rFonts w:ascii="Times New Roman" w:eastAsia="SimSun" w:hAnsi="Times New Roman" w:cs="Times New Roman"/>
          <w:sz w:val="24"/>
          <w:szCs w:val="24"/>
          <w:lang w:bidi="ar"/>
        </w:rPr>
        <w:instrText>ADDIN CSL_CITATION {"citationItems":[{"id":"ITEM-1","itemData":{"DOI":"10.1016/j.jtrangeo.2013.09.014","ISSN":"09666923","abstract":"Travel can affect land use just as land use affects travel behaviour of people. Low-cost travel, especially resulting from transportation improvements since the nineteenth century, has resulted in long-distance travel and urban sprawl, bringing along negative aspects such as traffic congestion and air pollution, but also reductions in biodiversity and public health. In order to try to partly reverse this process, the supply of infrastructure and public transportation can no longer follow the demand of transportation; the supply has to steer the demand. Infrastructure and high-quality public transportation should be clustered in and between large and regional cities. Increasing travel costs for car use (e.g., road pricing) can positively affect travel distances and travel mode choice, but also long-term decisions such as the residential location choice, stimulating compact, mixed-use developments. In this paper, we focus on Flanders, Belgium, a region where mobility policies stimulated long-distance travel and limited land use regulations did not hinder urban sprawl. Increasing travel costs combined with a more active spatial planning policy and a stronger cooperation between mobility policy and spatial planning can help to decrease car use and urban sprawl, but also change the way in which people perceive travel. © 2013 Elsevier Ltd.","author":[{"dropping-particle":"","family":"Vos","given":"Jonas","non-dropping-particle":"De","parse-names":false,"suffix":""},{"dropping-particle":"","family":"Witlox","given":"Frank","non-dropping-particle":"","parse-names":false,"suffix":""}],"container-title":"Journal of Transport Geography","id":"ITEM-1","issued":{"date-parts":[["2013"]]},"page":"117-125","publisher":"Elsevier Ltd","title":"Transportation policy as spatial planning tool; Reducing urban sprawl by increasing travel costs and clustering infrastructure and public transportation","type":"article-journal","volume":"33"},"uris":["http://www.mendeley.com/documents/?uuid=5fe1d653-7b8a-46ae-a7bb-1f26bb5cf21a"]}],"mendeley":{"formattedCitation":"(De Vos &amp; Witlox, 2013)","plainTextFormattedCitation":"(De Vos &amp; Witlox, 2013)","previouslyFormattedCitation":"(De Vos &amp; Witlox, 2013)"},"properties":{"noteIndex":0},"schema":"https://github.com/citation-style-language/schema/raw/master/csl-citation.json"}</w:instrText>
      </w:r>
      <w:r>
        <w:rPr>
          <w:rFonts w:ascii="Times New Roman" w:eastAsia="SimSun" w:hAnsi="Times New Roman" w:cs="Times New Roman"/>
          <w:sz w:val="24"/>
          <w:szCs w:val="24"/>
          <w:lang w:bidi="ar"/>
        </w:rPr>
        <w:fldChar w:fldCharType="separate"/>
      </w:r>
      <w:r>
        <w:rPr>
          <w:rFonts w:ascii="Times New Roman" w:eastAsia="SimSun" w:hAnsi="Times New Roman" w:cs="Times New Roman"/>
          <w:sz w:val="24"/>
          <w:szCs w:val="24"/>
          <w:lang w:bidi="ar"/>
        </w:rPr>
        <w:t>(De Vos &amp; Witlox, 2013)</w:t>
      </w:r>
      <w:r>
        <w:rPr>
          <w:rFonts w:ascii="Times New Roman" w:eastAsia="SimSun" w:hAnsi="Times New Roman" w:cs="Times New Roman"/>
          <w:sz w:val="24"/>
          <w:szCs w:val="24"/>
          <w:lang w:bidi="ar"/>
        </w:rPr>
        <w:fldChar w:fldCharType="end"/>
      </w:r>
      <w:r>
        <w:rPr>
          <w:rFonts w:ascii="Times New Roman" w:eastAsia="SimSun" w:hAnsi="Times New Roman" w:cs="Times New Roman"/>
          <w:sz w:val="24"/>
          <w:szCs w:val="24"/>
          <w:lang w:bidi="ar"/>
        </w:rPr>
        <w:t>.</w:t>
      </w:r>
    </w:p>
    <w:p w14:paraId="2759543A" w14:textId="7E4A97F1" w:rsidR="00687CB5" w:rsidRDefault="00481476" w:rsidP="00D23533">
      <w:pPr>
        <w:ind w:leftChars="64" w:left="141" w:firstLine="1"/>
        <w:jc w:val="both"/>
        <w:rPr>
          <w:rFonts w:ascii="Times New Roman" w:eastAsia="SimSun" w:hAnsi="Times New Roman" w:cs="Times New Roman"/>
          <w:sz w:val="24"/>
          <w:szCs w:val="24"/>
          <w:lang w:bidi="ar"/>
        </w:rPr>
      </w:pPr>
      <w:r>
        <w:rPr>
          <w:rFonts w:ascii="Times New Roman" w:eastAsia="SimSun" w:hAnsi="Times New Roman" w:cs="Times New Roman"/>
          <w:sz w:val="24"/>
          <w:szCs w:val="24"/>
          <w:lang w:bidi="ar"/>
        </w:rPr>
        <w:t>T</w:t>
      </w:r>
      <w:r w:rsidR="0088594F">
        <w:rPr>
          <w:rFonts w:ascii="Times New Roman" w:eastAsia="SimSun" w:hAnsi="Times New Roman" w:cs="Times New Roman"/>
          <w:sz w:val="24"/>
          <w:szCs w:val="24"/>
          <w:lang w:bidi="ar"/>
        </w:rPr>
        <w:t xml:space="preserve">he government has recently produced a document that contains policies on strategies to reduce congestion and the burden that the transportation sector causes to the environment. One of them is improving facilities for active travel (pedestrians and cyclists) and public transportation </w:t>
      </w:r>
      <w:r w:rsidR="0088594F">
        <w:rPr>
          <w:rFonts w:ascii="Times New Roman" w:eastAsia="SimSun" w:hAnsi="Times New Roman" w:cs="Times New Roman"/>
          <w:sz w:val="24"/>
          <w:szCs w:val="24"/>
          <w:lang w:bidi="ar"/>
        </w:rPr>
        <w:fldChar w:fldCharType="begin" w:fldLock="1"/>
      </w:r>
      <w:r w:rsidR="0088594F">
        <w:rPr>
          <w:rFonts w:ascii="Times New Roman" w:eastAsia="SimSun" w:hAnsi="Times New Roman" w:cs="Times New Roman"/>
          <w:sz w:val="24"/>
          <w:szCs w:val="24"/>
          <w:lang w:bidi="ar"/>
        </w:rPr>
        <w:instrText>ADDIN CSL_CITATION {"citationItems":[{"id":"ITEM-1","itemData":{"DOI":"10.1016/j.jtrangeo.2013.09.014","ISSN":"09666923","abstract":"Travel can affect land use just as land use affects travel behaviour of people. Low-cost travel, especially resulting from transportation improvements since the nineteenth century, has resulted in long-distance travel and urban sprawl, bringing along negative aspects such as traffic congestion and air pollution, but also reductions in biodiversity and public health. In order to try to partly reverse this process, the supply of infrastructure and public transportation can no longer follow the demand of transportation; the supply has to steer the demand. Infrastructure and high-quality public transportation should be clustered in and between large and regional cities. Increasing travel costs for car use (e.g., road pricing) can positively affect travel distances and travel mode choice, but also long-term decisions such as the residential location choice, stimulating compact, mixed-use developments. In this paper, we focus on Flanders, Belgium, a region where mobility policies stimulated long-distance travel and limited land use regulations did not hinder urban sprawl. Increasing travel costs combined with a more active spatial planning policy and a stronger cooperation between mobility policy and spatial planning can help to decrease car use and urban sprawl, but also change the way in which people perceive travel. © 2013 Elsevier Ltd.","author":[{"dropping-particle":"","family":"Vos","given":"Jonas","non-dropping-particle":"De","parse-names":false,"suffix":""},{"dropping-particle":"","family":"Witlox","given":"Frank","non-dropping-particle":"","parse-names":false,"suffix":""}],"container-title":"Journal of Transport Geography","id":"ITEM-1","issued":{"date-parts":[["2013"]]},"page":"117-125","publisher":"Elsevier Ltd","title":"Transportation policy as spatial planning tool; Reducing urban sprawl by increasing travel costs and clustering infrastructure and public transportation","type":"article-journal","volume":"33"},"uris":["http://www.mendeley.com/documents/?uuid=5fe1d653-7b8a-46ae-a7bb-1f26bb5cf21a"]}],"mendeley":{"formattedCitation":"(De Vos &amp; Witlox, 2013)","plainTextFormattedCitation":"(De Vos &amp; Witlox, 2013)","previouslyFormattedCitation":"(De Vos &amp; Witlox, 2013)"},"properties":{"noteIndex":0},"schema":"https://github.com/citation-style-language/schema/raw/master/csl-citation.json"}</w:instrText>
      </w:r>
      <w:r w:rsidR="0088594F">
        <w:rPr>
          <w:rFonts w:ascii="Times New Roman" w:eastAsia="SimSun" w:hAnsi="Times New Roman" w:cs="Times New Roman"/>
          <w:sz w:val="24"/>
          <w:szCs w:val="24"/>
          <w:lang w:bidi="ar"/>
        </w:rPr>
        <w:fldChar w:fldCharType="separate"/>
      </w:r>
      <w:r w:rsidR="0088594F">
        <w:rPr>
          <w:rFonts w:ascii="Times New Roman" w:eastAsia="SimSun" w:hAnsi="Times New Roman" w:cs="Times New Roman"/>
          <w:sz w:val="24"/>
          <w:szCs w:val="24"/>
          <w:lang w:bidi="ar"/>
        </w:rPr>
        <w:t>(De Vos &amp; Witlox, 2013)</w:t>
      </w:r>
      <w:r w:rsidR="0088594F">
        <w:rPr>
          <w:rFonts w:ascii="Times New Roman" w:eastAsia="SimSun" w:hAnsi="Times New Roman" w:cs="Times New Roman"/>
          <w:sz w:val="24"/>
          <w:szCs w:val="24"/>
          <w:lang w:bidi="ar"/>
        </w:rPr>
        <w:fldChar w:fldCharType="end"/>
      </w:r>
      <w:r w:rsidR="0088594F">
        <w:rPr>
          <w:rFonts w:ascii="Times New Roman" w:eastAsia="SimSun" w:hAnsi="Times New Roman" w:cs="Times New Roman"/>
          <w:sz w:val="24"/>
          <w:szCs w:val="24"/>
          <w:lang w:bidi="ar"/>
        </w:rPr>
        <w:t xml:space="preserve">. One of the facilities provided for active travel is to improve sidewalks, create bicycle lanes, and provide bike share facilities for urban areas. </w:t>
      </w:r>
      <w:r w:rsidR="00C53878">
        <w:rPr>
          <w:rFonts w:ascii="Times New Roman" w:eastAsia="SimSun" w:hAnsi="Times New Roman" w:cs="Times New Roman"/>
          <w:sz w:val="24"/>
          <w:szCs w:val="24"/>
          <w:lang w:bidi="ar"/>
        </w:rPr>
        <w:t>Bike-</w:t>
      </w:r>
      <w:r w:rsidR="0088594F">
        <w:rPr>
          <w:rFonts w:ascii="Times New Roman" w:eastAsia="SimSun" w:hAnsi="Times New Roman" w:cs="Times New Roman"/>
          <w:sz w:val="24"/>
          <w:szCs w:val="24"/>
          <w:lang w:bidi="ar"/>
        </w:rPr>
        <w:t xml:space="preserve">sharing is a service that provides a means of transportation in the form of bicycles for public use with access via smartphones. The </w:t>
      </w:r>
      <w:r w:rsidR="00C53878">
        <w:rPr>
          <w:rFonts w:ascii="Times New Roman" w:eastAsia="SimSun" w:hAnsi="Times New Roman" w:cs="Times New Roman"/>
          <w:sz w:val="24"/>
          <w:szCs w:val="24"/>
          <w:lang w:bidi="ar"/>
        </w:rPr>
        <w:t>bike-</w:t>
      </w:r>
      <w:r w:rsidR="0088594F">
        <w:rPr>
          <w:rFonts w:ascii="Times New Roman" w:eastAsia="SimSun" w:hAnsi="Times New Roman" w:cs="Times New Roman"/>
          <w:sz w:val="24"/>
          <w:szCs w:val="24"/>
          <w:lang w:bidi="ar"/>
        </w:rPr>
        <w:t xml:space="preserve">sharing system is that the user can use the bicycle to various places and the bicycle can be returned to the special bicycle park that has been provided, and charged according to the distance traveled by the cyclist. The </w:t>
      </w:r>
      <w:r w:rsidR="00C53878">
        <w:rPr>
          <w:rFonts w:ascii="Times New Roman" w:eastAsia="SimSun" w:hAnsi="Times New Roman" w:cs="Times New Roman"/>
          <w:sz w:val="24"/>
          <w:szCs w:val="24"/>
          <w:lang w:bidi="ar"/>
        </w:rPr>
        <w:t>bike-</w:t>
      </w:r>
      <w:r w:rsidR="0088594F">
        <w:rPr>
          <w:rFonts w:ascii="Times New Roman" w:eastAsia="SimSun" w:hAnsi="Times New Roman" w:cs="Times New Roman"/>
          <w:sz w:val="24"/>
          <w:szCs w:val="24"/>
          <w:lang w:bidi="ar"/>
        </w:rPr>
        <w:t xml:space="preserve">sharing system is considered good for the wider community because it has a positive impact on the environment. One of them is that bicycles produce less air pollution and noise pollution than motor-based vehicles, such as cars and motorbikes </w:t>
      </w:r>
      <w:r w:rsidR="0088594F">
        <w:rPr>
          <w:rFonts w:ascii="Times New Roman" w:eastAsia="SimSun" w:hAnsi="Times New Roman" w:cs="Times New Roman"/>
          <w:sz w:val="24"/>
          <w:szCs w:val="24"/>
          <w:lang w:bidi="ar"/>
        </w:rPr>
        <w:fldChar w:fldCharType="begin" w:fldLock="1"/>
      </w:r>
      <w:r w:rsidR="0088594F">
        <w:rPr>
          <w:rFonts w:ascii="Times New Roman" w:eastAsia="SimSun" w:hAnsi="Times New Roman" w:cs="Times New Roman"/>
          <w:sz w:val="24"/>
          <w:szCs w:val="24"/>
          <w:lang w:bidi="ar"/>
        </w:rPr>
        <w:instrText>ADDIN CSL_CITATION {"citationItems":[{"id":"ITEM-1","itemData":{"DOI":"10.1016/j.trc.2019.04.006","ISSN":"0968090X","abstract":"Public bike-sharing has gained much attention with the tide of sharing economy. Empowered by modern technologies (e.g., GPS devices and smartphone-based APPs), a new generation of free-floating bike-sharing systems has recently become popular. Usage data generated by such systems produce rich information. This study presents a model framework to explore the spatio-temporal usage patterns of free-floating shared bikes using the usage data. The framework includes modules of probability fitting, Random Forest, a cluster-based time-domain analysis, and a visualization toolset. A case study is discussed based on the usage data from Mobike, one of the largest operating bike-sharing systems in Shanghai (China). The daily usage dynamics is modeled using log-normal distributions. Random Forest is adopted to explore the impact of factors on the usage frequency in different districts. It is found that residential area, park &amp; green area, and population size are the top three factors influencing the frequency. Particularly, usage near metro stations is delved using the hierarchical clustering method, resulting in three typical usage modes. Visualization analysis is demonstrated to understand the time-varying flow patterns and the spatial distribution of shared bikes. This study improves our understanding of the usage patterns of this emerging transport mode and provides insights for the promotion and dynamic deployment of the bike-sharing system in urban areas.","author":[{"dropping-particle":"","family":"Du","given":"Yuchuan","non-dropping-particle":"","parse-names":false,"suffix":""},{"dropping-particle":"","family":"Deng","given":"Fuwen","non-dropping-particle":"","parse-names":false,"suffix":""},{"dropping-particle":"","family":"Liao","given":"Feixiong","non-dropping-particle":"","parse-names":false,"suffix":""}],"container-title":"Transportation Research Part C: Emerging Technologies","id":"ITEM-1","issue":"April","issued":{"date-parts":[["2019"]]},"page":"39-55","publisher":"Elsevier","title":"A model framework for discovering the spatio-temporal usage patterns of public free-floating bike-sharing system","type":"article-journal","volume":"103"},"uris":["http://www.mendeley.com/documents/?uuid=7f437843-9126-4954-a6a1-a21b038d1b0c"]}],"mendeley":{"formattedCitation":"(Du et al., 2019)","plainTextFormattedCitation":"(Du et al., 2019)","previouslyFormattedCitation":"(Du et al., 2019)"},"properties":{"noteIndex":0},"schema":"https://github.com/citation-style-language/schema/raw/master/csl-citation.json"}</w:instrText>
      </w:r>
      <w:r w:rsidR="0088594F">
        <w:rPr>
          <w:rFonts w:ascii="Times New Roman" w:eastAsia="SimSun" w:hAnsi="Times New Roman" w:cs="Times New Roman"/>
          <w:sz w:val="24"/>
          <w:szCs w:val="24"/>
          <w:lang w:bidi="ar"/>
        </w:rPr>
        <w:fldChar w:fldCharType="separate"/>
      </w:r>
      <w:r w:rsidR="0088594F">
        <w:rPr>
          <w:rFonts w:ascii="Times New Roman" w:eastAsia="SimSun" w:hAnsi="Times New Roman" w:cs="Times New Roman"/>
          <w:sz w:val="24"/>
          <w:szCs w:val="24"/>
          <w:lang w:bidi="ar"/>
        </w:rPr>
        <w:t>(Du et al., 2019)</w:t>
      </w:r>
      <w:r w:rsidR="0088594F">
        <w:rPr>
          <w:rFonts w:ascii="Times New Roman" w:eastAsia="SimSun" w:hAnsi="Times New Roman" w:cs="Times New Roman"/>
          <w:sz w:val="24"/>
          <w:szCs w:val="24"/>
          <w:lang w:bidi="ar"/>
        </w:rPr>
        <w:fldChar w:fldCharType="end"/>
      </w:r>
      <w:r w:rsidR="0088594F">
        <w:rPr>
          <w:rFonts w:ascii="Times New Roman" w:eastAsia="SimSun" w:hAnsi="Times New Roman" w:cs="Times New Roman"/>
          <w:sz w:val="24"/>
          <w:szCs w:val="24"/>
          <w:lang w:bidi="ar"/>
        </w:rPr>
        <w:t>.</w:t>
      </w:r>
    </w:p>
    <w:p w14:paraId="29010206" w14:textId="71D8BA0A" w:rsidR="00687CB5" w:rsidRDefault="0088594F" w:rsidP="00D23533">
      <w:pPr>
        <w:ind w:leftChars="64" w:left="141" w:firstLine="1"/>
        <w:jc w:val="both"/>
        <w:rPr>
          <w:rFonts w:ascii="Times New Roman" w:eastAsia="SimSun" w:hAnsi="Times New Roman" w:cs="Times New Roman"/>
          <w:sz w:val="24"/>
          <w:szCs w:val="24"/>
          <w:lang w:bidi="ar"/>
        </w:rPr>
      </w:pPr>
      <w:r>
        <w:rPr>
          <w:rFonts w:ascii="Times New Roman" w:eastAsia="SimSun" w:hAnsi="Times New Roman" w:cs="Times New Roman"/>
          <w:sz w:val="24"/>
          <w:szCs w:val="24"/>
          <w:lang w:bidi="ar"/>
        </w:rPr>
        <w:t xml:space="preserve">In Indonesia, bicycle facilities are starting to be found in various urban areas, one of which is megacities in Indonesia, the city of Jakarta. The development of bicycle facilities in Jakarta is increasing along with the interest in cycling that arises among the community. The facilities built are in the form of special cyclist lanes, updated bicycle parking, the emergence of </w:t>
      </w:r>
      <w:r w:rsidR="00C53878">
        <w:rPr>
          <w:rFonts w:ascii="Times New Roman" w:eastAsia="SimSun" w:hAnsi="Times New Roman" w:cs="Times New Roman"/>
          <w:sz w:val="24"/>
          <w:szCs w:val="24"/>
          <w:lang w:bidi="ar"/>
        </w:rPr>
        <w:t>bike-</w:t>
      </w:r>
      <w:r>
        <w:rPr>
          <w:rFonts w:ascii="Times New Roman" w:eastAsia="SimSun" w:hAnsi="Times New Roman" w:cs="Times New Roman"/>
          <w:sz w:val="24"/>
          <w:szCs w:val="24"/>
          <w:lang w:bidi="ar"/>
        </w:rPr>
        <w:t>sharing services, and policies regarding bicycle transportation. As a city develops, daily activities are increasingly diverse, so there is a need for comprehensive mobility to make it easier for residents to move from one location to another. Bicycle facilities can be a suitable alternative to facilitate this mobility. However, its uneven distribution is an obstacle in the development of this environmentally friendly transportation facility. Bike</w:t>
      </w:r>
      <w:r w:rsidR="00C53878">
        <w:rPr>
          <w:rFonts w:ascii="Times New Roman" w:eastAsia="SimSun" w:hAnsi="Times New Roman" w:cs="Times New Roman"/>
          <w:sz w:val="24"/>
          <w:szCs w:val="24"/>
          <w:lang w:bidi="ar"/>
        </w:rPr>
        <w:t>-</w:t>
      </w:r>
      <w:r>
        <w:rPr>
          <w:rFonts w:ascii="Times New Roman" w:eastAsia="SimSun" w:hAnsi="Times New Roman" w:cs="Times New Roman"/>
          <w:sz w:val="24"/>
          <w:szCs w:val="24"/>
          <w:lang w:bidi="ar"/>
        </w:rPr>
        <w:t xml:space="preserve">sharing locations are currently only available in public transportation areas, such as near bus stops and MRT stations, so if you want </w:t>
      </w:r>
      <w:r>
        <w:rPr>
          <w:rFonts w:ascii="Times New Roman" w:eastAsia="SimSun" w:hAnsi="Times New Roman" w:cs="Times New Roman"/>
          <w:sz w:val="24"/>
          <w:szCs w:val="24"/>
          <w:lang w:bidi="ar"/>
        </w:rPr>
        <w:lastRenderedPageBreak/>
        <w:t>to use these services, you can only use them in certain locations. Through this research, a study was carried out on the spatial characteristics of the existing cycling facilities and the surrounding environment. The interaction between cycling facilities and surrounding facilities will be further explored given the urban growth that encourages complex daily activities to interact with each other.</w:t>
      </w:r>
    </w:p>
    <w:p w14:paraId="26B76890" w14:textId="77777777" w:rsidR="00687CB5" w:rsidRDefault="0088594F">
      <w:pPr>
        <w:ind w:firstLineChars="213" w:firstLine="511"/>
        <w:jc w:val="both"/>
        <w:rPr>
          <w:rFonts w:ascii="Times New Roman" w:hAnsi="Times New Roman" w:cs="Times New Roman"/>
          <w:sz w:val="24"/>
          <w:szCs w:val="24"/>
        </w:rPr>
      </w:pPr>
      <w:r>
        <w:rPr>
          <w:rFonts w:ascii="Times New Roman" w:hAnsi="Times New Roman" w:cs="Times New Roman"/>
          <w:sz w:val="24"/>
          <w:szCs w:val="24"/>
        </w:rPr>
        <w:t>.</w:t>
      </w:r>
    </w:p>
    <w:p w14:paraId="6533219F" w14:textId="77777777" w:rsidR="00687CB5" w:rsidRDefault="0088594F" w:rsidP="00D23533">
      <w:pPr>
        <w:pStyle w:val="Heading1"/>
        <w:numPr>
          <w:ilvl w:val="0"/>
          <w:numId w:val="1"/>
        </w:numPr>
        <w:tabs>
          <w:tab w:val="left" w:pos="422"/>
        </w:tabs>
        <w:spacing w:line="480" w:lineRule="auto"/>
        <w:jc w:val="both"/>
        <w:rPr>
          <w:b w:val="0"/>
          <w:bCs w:val="0"/>
        </w:rPr>
      </w:pPr>
      <w:r>
        <w:rPr>
          <w:spacing w:val="-2"/>
        </w:rPr>
        <w:t>LITERATURE REVIEW</w:t>
      </w:r>
    </w:p>
    <w:p w14:paraId="759DAB46" w14:textId="77777777" w:rsidR="00687CB5" w:rsidRDefault="0088594F" w:rsidP="00C05E69">
      <w:pPr>
        <w:numPr>
          <w:ilvl w:val="1"/>
          <w:numId w:val="1"/>
        </w:numPr>
        <w:tabs>
          <w:tab w:val="left" w:pos="484"/>
        </w:tabs>
        <w:ind w:hanging="649"/>
        <w:jc w:val="both"/>
        <w:rPr>
          <w:rFonts w:ascii="Times New Roman" w:eastAsia="Times New Roman" w:hAnsi="Times New Roman" w:cs="Times New Roman"/>
          <w:sz w:val="24"/>
          <w:szCs w:val="24"/>
        </w:rPr>
      </w:pPr>
      <w:r>
        <w:rPr>
          <w:rFonts w:ascii="Times New Roman"/>
          <w:b/>
          <w:spacing w:val="-2"/>
          <w:sz w:val="24"/>
        </w:rPr>
        <w:t>Urban Mobility</w:t>
      </w:r>
    </w:p>
    <w:p w14:paraId="40F2EAE1" w14:textId="77777777" w:rsidR="00687CB5" w:rsidRDefault="0088594F" w:rsidP="00D23533">
      <w:pPr>
        <w:ind w:leftChars="64" w:left="141"/>
        <w:jc w:val="both"/>
        <w:rPr>
          <w:rFonts w:ascii="Times New Roman" w:hAnsi="Times New Roman" w:cs="Times New Roman"/>
          <w:sz w:val="24"/>
        </w:rPr>
      </w:pPr>
      <w:r>
        <w:rPr>
          <w:rFonts w:ascii="Times New Roman" w:hAnsi="Times New Roman" w:cs="Times New Roman"/>
          <w:sz w:val="24"/>
        </w:rPr>
        <w:t xml:space="preserve">According to the central place theory, when the fulfillment of daily needs is limited by markets, transportation, and administration, residents tend to visit nearby cities to buy goods and services to meet their needs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{"citationItems":[{"id":"ITEM-1","itemData":{"DOI":"10.1016/j.cities.2018.09.015","ISSN":"02642751","abstract":"Analyzing patterns of urban development should consider the network structure among cities as well as the formation of the function and role of each city in the network. The flow analysis of various factors between cities is based on urban network and space of flow theories. This study used Hebei Province of China as the case. The comprehensive status of each city in the regional urban network was measured by simulating the economic, information, traffic, and financial flow among cities. Results indicate that the development pattern can be divided into three levels with a multi-core and multi-node network structure. In addition, the flow analysis method can predict 67% of urban developmental level. Furthermore, some policy recommendations are put forward to facilitate regional integrated development in Hebei province.","author":[{"dropping-particle":"","family":"Zhen","given":"Feng","non-dropping-particle":"","parse-names":false,"suffix":""},{"dropping-particle":"","family":"Qin","given":"Xiao","non-dropping-particle":"","parse-names":false,"suffix":""},{"dropping-particle":"","family":"Ye","given":"Xinyue","non-dropping-particle":"","parse-names":false,"suffix":""},{"dropping-particle":"","family":"Sun","given":"Honghu","non-dropping-particle":"","parse-names":false,"suffix":""},{"dropping-particle":"","family":"Luosang","given":"Zhaxi","non-dropping-particle":"","parse-names":false,"suffix":""}],"container-title":"Cities","id":"ITEM-1","issue":"October 2018","issued":{"date-parts":[["2019"]]},"page":"178-197","publisher":"Elsevier","title":"Analyzing urban development patterns based on the flow analysis method","type":"article-journal","volume":"86"},"uris":["http://www.mendeley.com/documents/?uuid=6b36d823-8e41-418e-b4dc-b3e13ce36fd7"]}],"mendeley":{"formattedCitation":"(Zhen et al., 2019)","plainTextFormattedCitation":"(Zhen et al., 2019)","previouslyFormattedCitation":"(Zhen et al., 2019)"},"properties":{"noteIndex":0},"schema":"https://github.com/citation-style-language/schema/raw/master/csl-citation.json"}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(Zhen et al., 2019)</w:t>
      </w:r>
      <w:r>
        <w:rPr>
          <w:rFonts w:ascii="Times New Roman" w:hAnsi="Times New Roman" w:cs="Times New Roman"/>
          <w:sz w:val="24"/>
        </w:rPr>
        <w:fldChar w:fldCharType="end"/>
      </w:r>
      <w:r>
        <w:rPr>
          <w:rFonts w:ascii="Times New Roman" w:hAnsi="Times New Roman" w:cs="Times New Roman"/>
          <w:sz w:val="24"/>
        </w:rPr>
        <w:t xml:space="preserve">. Today, the city is one of the places that provide various needs for its residents, from housing to employment. The daily activities of residents in urban areas are increasingly complex considering continuous developments, such as urban growth and urban sprawl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{"citationItems":[{"id":"ITEM-1","itemData":{"DOI":"10.1080/21681015.2020.1823495","ISSN":"21681023","abstract":"This study aims to discover the spatial patterns of fast-food restaurants in Jakarta, an Indonesian megacity. The location of fast-food restaurants tends to cluster with the Nearest Neighbor Index of 0.41. The average surface distribution (estimated by Kernel Density Estimation) shows at least 20 locations that have densities between 4-7 fast-food restaurants. The co-location rules, as the results of transaction-based co-location pattern mining, revealed six main activities that affect the location behavior of fast-food restaurants, namely leisure time/shopping, traveling, education, religious activities, health activities, work activities. These refer to 11 minor attributes of public facilities with the Participation Index more than 50% and at a distance less than 1 km. Foodservice providers can employ the co-location rules in determining locations for their brand expansion to other regions. The research framework to mine up information based on spatial data can be utilized both for business and academic needs for other purposes.","author":[{"dropping-particle":"","family":"Widaningrum","given":"Dyah Lestari","non-dropping-particle":"","parse-names":false,"suffix":""},{"dropping-particle":"","family":"Surjandari","given":"Isti","non-dropping-particle":"","parse-names":false,"suffix":""},{"dropping-particle":"","family":"Sudiana","given":"Dodi","non-dropping-particle":"","parse-names":false,"suffix":""}],"container-title":"Journal of Industrial and Production Engineering","id":"ITEM-1","issue":"00","issued":{"date-parts":[["2020"]]},"page":"1-19","publisher":"Taylor &amp; Francis","title":"Discovering spatial patterns of fast-food restaurants in Jakarta, Indonesia","type":"article-journal","volume":"00"},"uris":["http://www.mendeley.com/documents/?uuid=0084acab-9fbd-4789-93fd-7aa7c3b9ea91"]}],"mendeley":{"formattedCitation":"(Widaningrum et al., 2020)","plainTextFormattedCitation":"(Widaningrum et al., 2020)","previouslyFormattedCitation":"(Widaningrum et al., 2020)"},"properties":{"noteIndex":0},"schema":"https://github.com/citation-style-language/schema/raw/master/csl-citation.json"}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(Widaningrum et al., 2020)</w:t>
      </w:r>
      <w:r>
        <w:rPr>
          <w:rFonts w:ascii="Times New Roman" w:hAnsi="Times New Roman" w:cs="Times New Roman"/>
          <w:sz w:val="24"/>
        </w:rPr>
        <w:fldChar w:fldCharType="end"/>
      </w:r>
      <w:r>
        <w:rPr>
          <w:rFonts w:ascii="Times New Roman" w:hAnsi="Times New Roman" w:cs="Times New Roman"/>
          <w:sz w:val="24"/>
        </w:rPr>
        <w:t xml:space="preserve">. One of the cities in Indonesia that is experiencing urbanization is Jakarta. The increasing population in the capital city, the more problems that arise, including unorganized settlements, garbage, congestion, and unemployment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{"citationItems":[{"id":"ITEM-1","itemData":{"abstract":"Kajian tentang Dinamika Kependudukan di Ibukota Jakarta ini adalah memaparkan Perkembangan Kuantitas, Kualitas dan Kesejahteraan Penduduk di Wilayah DKI Jakarta dengan pendekatan Deskriptif dari beragam sudut pandang demografi Ibukota, baik dari segi capaian Indeks Pembangunan Manusia dan kesejahteraan pembangunan untuk kualitas hidup layak. Metode yang digunakan adalah studi kepustakaan (library research) dan analisa dokumenter. Hasil yang dapat diuraikan bahwa perkembangan penduduk penghuni Ibukota yang cukup tinggi dari rata-rata secara nasional. Meskipun demikian peningkatan kualitas hidup penduduk Jakarta tingkat kesejahteraannya masih belum sesuai yang diharapkan.","author":[{"dropping-particle":"","family":"Rahmatulloh","given":"","non-dropping-particle":"","parse-names":false,"suffix":""}],"container-title":"Genta Mulia","id":"ITEM-1","issue":"2","issued":{"date-parts":[["2017"]]},"page":"54-67","title":"Dinamika Kependudukan di Ibukota Jakarta (Deskripsi Perkembangan Kuantitas, Kualitas dan Kesejahteraan Penduduk di DKI Jakarta)","type":"article-journal","volume":"VIII"},"uris":["http://www.mendeley.com/documents/?uuid=c37d687d-b2c1-460d-8cca-ec859e17b18a"]}],"mendeley":{"formattedCitation":"(Rahmatulloh, 2017)","plainTextFormattedCitation":"(Rahmatulloh, 2017)","previouslyFormattedCitation":"(Rahmatulloh, 2017)"},"properties":{"noteIndex":0},"schema":"https://github.com/citation-style-language/schema/raw/master/csl-citation.json"}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(Rahmatulloh, 2017)</w:t>
      </w:r>
      <w:r>
        <w:rPr>
          <w:rFonts w:ascii="Times New Roman" w:hAnsi="Times New Roman" w:cs="Times New Roman"/>
          <w:sz w:val="24"/>
        </w:rPr>
        <w:fldChar w:fldCharType="end"/>
      </w:r>
      <w:r>
        <w:rPr>
          <w:rFonts w:ascii="Times New Roman" w:hAnsi="Times New Roman" w:cs="Times New Roman"/>
          <w:sz w:val="24"/>
        </w:rPr>
        <w:t>.</w:t>
      </w:r>
    </w:p>
    <w:p w14:paraId="4FDE88A3" w14:textId="3396A15C" w:rsidR="00687CB5" w:rsidRDefault="0088594F" w:rsidP="00D23533">
      <w:pPr>
        <w:ind w:leftChars="64" w:left="141"/>
        <w:jc w:val="both"/>
        <w:rPr>
          <w:rFonts w:ascii="Times New Roman" w:hAnsi="Times New Roman" w:cs="Times New Roman"/>
          <w:sz w:val="24"/>
        </w:rPr>
      </w:pPr>
      <w:r>
        <w:rPr>
          <w:rFonts w:ascii="Times New Roman" w:hAnsi="Times New Roman" w:cs="Times New Roman"/>
          <w:sz w:val="24"/>
        </w:rPr>
        <w:t xml:space="preserve">One of the problems that have become the focus of the government is in the transportation sector. The urban growth rate is accompanied by the development rate in the transportation sector. The number of private transportation continues to increase and causes problems, in addition to causing congestion, </w:t>
      </w:r>
      <w:r w:rsidR="00C53878">
        <w:rPr>
          <w:rFonts w:ascii="Times New Roman" w:hAnsi="Times New Roman" w:cs="Times New Roman"/>
          <w:sz w:val="24"/>
        </w:rPr>
        <w:t xml:space="preserve">which </w:t>
      </w:r>
      <w:r>
        <w:rPr>
          <w:rFonts w:ascii="Times New Roman" w:hAnsi="Times New Roman" w:cs="Times New Roman"/>
          <w:sz w:val="24"/>
        </w:rPr>
        <w:t>has resulted in increased environmental disturbance, limited economic growth</w:t>
      </w:r>
      <w:r w:rsidR="00C53878">
        <w:rPr>
          <w:rFonts w:ascii="Times New Roman" w:hAnsi="Times New Roman" w:cs="Times New Roman"/>
          <w:sz w:val="24"/>
        </w:rPr>
        <w:t>,</w:t>
      </w:r>
      <w:r>
        <w:rPr>
          <w:rFonts w:ascii="Times New Roman" w:hAnsi="Times New Roman" w:cs="Times New Roman"/>
          <w:sz w:val="24"/>
        </w:rPr>
        <w:t xml:space="preserve"> and the spread of urban sprawl in many western countries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{"citationItems":[{"id":"ITEM-1","itemData":{"DOI":"10.1016/j.jtrangeo.2013.09.014","ISSN":"09666923","abstract":"Travel can affect land use just as land use affects travel behaviour of people. Low-cost travel, especially resulting from transportation improvements since the nineteenth century, has resulted in long-distance travel and urban sprawl, bringing along negative aspects such as traffic congestion and air pollution, but also reductions in biodiversity and public health. In order to try to partly reverse this process, the supply of infrastructure and public transportation can no longer follow the demand of transportation; the supply has to steer the demand. Infrastructure and high-quality public transportation should be clustered in and between large and regional cities. Increasing travel costs for car use (e.g., road pricing) can positively affect travel distances and travel mode choice, but also long-term decisions such as the residential location choice, stimulating compact, mixed-use developments. In this paper, we focus on Flanders, Belgium, a region where mobility policies stimulated long-distance travel and limited land use regulations did not hinder urban sprawl. Increasing travel costs combined with a more active spatial planning policy and a stronger cooperation between mobility policy and spatial planning can help to decrease car use and urban sprawl, but also change the way in which people perceive travel. © 2013 Elsevier Ltd.","author":[{"dropping-particle":"","family":"Vos","given":"Jonas","non-dropping-particle":"De","parse-names":false,"suffix":""},{"dropping-particle":"","family":"Witlox","given":"Frank","non-dropping-particle":"","parse-names":false,"suffix":""}],"container-title":"Journal of Transport Geography","id":"ITEM-1","issued":{"date-parts":[["2013"]]},"page":"117-125","publisher":"Elsevier Ltd","title":"Transportation policy as spatial planning tool; Reducing urban sprawl by increasing travel costs and clustering infrastructure and public transportation","type":"article-journal","volume":"33"},"uris":["http://www.mendeley.com/documents/?uuid=5fe1d653-7b8a-46ae-a7bb-1f26bb5cf21a"]}],"mendeley":{"formattedCitation":"(De Vos &amp; Witlox, 2013)","plainTextFormattedCitation":"(De Vos &amp; Witlox, 2013)","previouslyFormattedCitation":"(De Vos &amp; Witlox, 2013)"},"properties":{"noteIndex":0},"schema":"https://github.com/citation-style-language/schema/raw/master/csl-citation.json"}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(De Vos &amp; Witlox, 2013)</w:t>
      </w:r>
      <w:r>
        <w:rPr>
          <w:rFonts w:ascii="Times New Roman" w:hAnsi="Times New Roman" w:cs="Times New Roman"/>
          <w:sz w:val="24"/>
        </w:rPr>
        <w:fldChar w:fldCharType="end"/>
      </w:r>
      <w:r>
        <w:rPr>
          <w:rFonts w:ascii="Times New Roman" w:hAnsi="Times New Roman" w:cs="Times New Roman"/>
          <w:sz w:val="24"/>
        </w:rPr>
        <w:t xml:space="preserve">. Congestion has been the biggest problem in Jakarta </w:t>
      </w:r>
      <w:r w:rsidR="00C53878">
        <w:rPr>
          <w:rFonts w:ascii="Times New Roman" w:hAnsi="Times New Roman" w:cs="Times New Roman"/>
          <w:sz w:val="24"/>
        </w:rPr>
        <w:t xml:space="preserve">for </w:t>
      </w:r>
      <w:r>
        <w:rPr>
          <w:rFonts w:ascii="Times New Roman" w:hAnsi="Times New Roman" w:cs="Times New Roman"/>
          <w:sz w:val="24"/>
        </w:rPr>
        <w:t xml:space="preserve">the last few years. The result of congestion in Jakarta has reduced the quality of life and competitiveness of the population. The growth of the financial and service sector increased population growth, and the relatively unchanged capacity of the public transportation system in the </w:t>
      </w:r>
      <w:r w:rsidR="0020253B">
        <w:rPr>
          <w:rFonts w:ascii="Times New Roman" w:hAnsi="Times New Roman" w:cs="Times New Roman"/>
          <w:sz w:val="24"/>
        </w:rPr>
        <w:t xml:space="preserve">Jakarta Greater </w:t>
      </w:r>
      <w:r>
        <w:rPr>
          <w:rFonts w:ascii="Times New Roman" w:hAnsi="Times New Roman" w:cs="Times New Roman"/>
          <w:sz w:val="24"/>
        </w:rPr>
        <w:t xml:space="preserve"> area </w:t>
      </w:r>
      <w:r w:rsidR="00C53878">
        <w:rPr>
          <w:rFonts w:ascii="Times New Roman" w:hAnsi="Times New Roman" w:cs="Times New Roman"/>
          <w:sz w:val="24"/>
        </w:rPr>
        <w:t xml:space="preserve">has </w:t>
      </w:r>
      <w:r>
        <w:rPr>
          <w:rFonts w:ascii="Times New Roman" w:hAnsi="Times New Roman" w:cs="Times New Roman"/>
          <w:sz w:val="24"/>
        </w:rPr>
        <w:t xml:space="preserve">led to the use of vehicles such as motorbikes and private cars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{"citationItems":[{"id":"ITEM-1","itemData":{"author":[{"dropping-particle":"","family":"Initiative","given":"Indonesia Infrastructure","non-dropping-particle":"","parse-names":false,"suffix":""}],"container-title":"Prakarsa","id":"ITEM-1","issue":"6","issued":{"date-parts":[["2011"]]},"title":"Urban Mobility","type":"article-journal"},"uris":["http://www.mendeley.com/documents/?uuid=a25082e0-7816-498c-af58-52d7afc518da"]}],"mendeley":{"formattedCitation":"(Initiative, 2011)","plainTextFormattedCitation":"(Initiative, 2011)","previouslyFormattedCitation":"(Initiative, 2011)"},"properties":{"noteIndex":0},"schema":"https://github.com/citation-style-language/schema/raw/master/csl-citation.json"}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(Initiative, 2011)</w:t>
      </w:r>
      <w:r>
        <w:rPr>
          <w:rFonts w:ascii="Times New Roman" w:hAnsi="Times New Roman" w:cs="Times New Roman"/>
          <w:sz w:val="24"/>
        </w:rPr>
        <w:fldChar w:fldCharType="end"/>
      </w:r>
      <w:r>
        <w:rPr>
          <w:rFonts w:ascii="Times New Roman" w:hAnsi="Times New Roman" w:cs="Times New Roman"/>
          <w:sz w:val="24"/>
        </w:rPr>
        <w:t xml:space="preserve">. Therefore, the current government's focus is to reduce the number of congestion by building more road access. Nevertheless, in reality, the use of private vehicles is increasing and the level of congestion is getting higher, other influences have an impact on economic inefficiency, pollution, and other environmental damage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{"citationItems":[{"id":"ITEM-1","itemData":{"author":[{"dropping-particle":"","family":"Initiative","given":"Indonesia Infrastructure","non-dropping-particle":"","parse-names":false,"suffix":""}],"container-title":"Prakarsa","id":"ITEM-1","issue":"6","issued":{"date-parts":[["2011"]]},"title":"Urban Mobility","type":"article-journal"},"uris":["http://www.mendeley.com/documents/?uuid=a25082e0-7816-498c-af58-52d7afc518da"]}],"mendeley":{"formattedCitation":"(Initiative, 2011)","plainTextFormattedCitation":"(Initiative, 2011)","previouslyFormattedCitation":"(Initiative, 2011)"},"properties":{"noteIndex":0},"schema":"https://github.com/citation-style-language/schema/raw/master/csl-citation.json"}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(Initiative, 2011)</w:t>
      </w:r>
      <w:r>
        <w:rPr>
          <w:rFonts w:ascii="Times New Roman" w:hAnsi="Times New Roman" w:cs="Times New Roman"/>
          <w:sz w:val="24"/>
        </w:rPr>
        <w:fldChar w:fldCharType="end"/>
      </w:r>
      <w:r>
        <w:rPr>
          <w:rFonts w:ascii="Times New Roman" w:hAnsi="Times New Roman" w:cs="Times New Roman"/>
          <w:sz w:val="24"/>
        </w:rPr>
        <w:t>.</w:t>
      </w:r>
    </w:p>
    <w:p w14:paraId="272CA7F0" w14:textId="34B91506" w:rsidR="00687CB5" w:rsidRDefault="0088594F" w:rsidP="00D23533">
      <w:pPr>
        <w:ind w:leftChars="64" w:left="141"/>
        <w:jc w:val="both"/>
        <w:rPr>
          <w:rFonts w:ascii="Times New Roman" w:hAnsi="Times New Roman" w:cs="Times New Roman"/>
          <w:sz w:val="24"/>
        </w:rPr>
      </w:pPr>
      <w:r>
        <w:rPr>
          <w:rFonts w:ascii="Times New Roman" w:hAnsi="Times New Roman" w:cs="Times New Roman"/>
          <w:sz w:val="24"/>
        </w:rPr>
        <w:t xml:space="preserve">Currently, the steps taken by every country in dealing with congestion are improving mobility. One example of a successful country is Singapore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{"citationItems":[{"id":"ITEM-1","itemData":{"author":[{"dropping-particle":"","family":"Initiative","given":"Indonesia Infrastructure","non-dropping-particle":"","parse-names":false,"suffix":""}],"container-title":"Prakarsa","id":"ITEM-1","issue":"6","issued":{"date-parts":[["2011"]]},"title":"Urban Mobility","type":"article-journal"},"uris":["http://www.mendeley.com/documents/?uuid=a25082e0-7816-498c-af58-52d7afc518da"]}],"mendeley":{"formattedCitation":"(Initiative, 2011)","plainTextFormattedCitation":"(Initiative, 2011)","previouslyFormattedCitation":"(Initiative, 2011)"},"properties":{"noteIndex":0},"schema":"https://github.com/citation-style-language/schema/raw/master/csl-citation.json"}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(Initiative, 2011)</w:t>
      </w:r>
      <w:r>
        <w:rPr>
          <w:rFonts w:ascii="Times New Roman" w:hAnsi="Times New Roman" w:cs="Times New Roman"/>
          <w:sz w:val="24"/>
        </w:rPr>
        <w:fldChar w:fldCharType="end"/>
      </w:r>
      <w:r>
        <w:rPr>
          <w:rFonts w:ascii="Times New Roman" w:hAnsi="Times New Roman" w:cs="Times New Roman"/>
          <w:sz w:val="24"/>
        </w:rPr>
        <w:t xml:space="preserve">. Singapore is focused on changing the way people use roads and providing classy and affordable public transportation facilities. Many countries have implemented improving mobility to reduce problems in the transportation sector, such as Brazil, France, India, China, and countries in Europe. Improving urban mobility focuses on movement between people and goods rather than the movement of vehicles. The goal is to create an urban mobility system that is highly efficient, flexible, safe, responsive, and affordable for people and goods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{"citationItems":[{"id":"ITEM-1","itemData":{"author":[{"dropping-particle":"","family":"Initiative","given":"Indonesia Infrastructure","non-dropping-particle":"","parse-names":false,"suffix":""}],"container-title":"Prakarsa","id":"ITEM-1","issue":"6","issued":{"date-parts":[["2011"]]},"title":"Urban Mobility","type":"article-journal"},"uris":["http://www.mendeley.com/documents/?uuid=a25082e0-7816-498c-af58-52d7afc518da"]}],"mendeley":{"formattedCitation":"(Initiative, 2011)","plainTextFormattedCitation":"(Initiative, 2011)","previouslyFormattedCitation":"(Initiative, 2011)"},"properties":{"noteIndex":0},"schema":"https://github.com/citation-style-language/schema/raw/master/csl-citation.json"}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(Initiative, 2011)</w:t>
      </w:r>
      <w:r>
        <w:rPr>
          <w:rFonts w:ascii="Times New Roman" w:hAnsi="Times New Roman" w:cs="Times New Roman"/>
          <w:sz w:val="24"/>
        </w:rPr>
        <w:fldChar w:fldCharType="end"/>
      </w:r>
      <w:r>
        <w:rPr>
          <w:rFonts w:ascii="Times New Roman" w:hAnsi="Times New Roman" w:cs="Times New Roman"/>
          <w:sz w:val="24"/>
        </w:rPr>
        <w:t>. This means increasing the use of public transport, improving the lane for pedestrian</w:t>
      </w:r>
      <w:r w:rsidR="00C53878">
        <w:rPr>
          <w:rFonts w:ascii="Times New Roman" w:hAnsi="Times New Roman" w:cs="Times New Roman"/>
          <w:sz w:val="24"/>
        </w:rPr>
        <w:t>s</w:t>
      </w:r>
      <w:r>
        <w:rPr>
          <w:rFonts w:ascii="Times New Roman" w:hAnsi="Times New Roman" w:cs="Times New Roman"/>
          <w:sz w:val="24"/>
        </w:rPr>
        <w:t>, and reducing the number of car and motorcycle users to travel.</w:t>
      </w:r>
    </w:p>
    <w:p w14:paraId="77336A0A" w14:textId="2BBB4CE2" w:rsidR="00687CB5" w:rsidRDefault="0088594F" w:rsidP="00D23533">
      <w:pPr>
        <w:ind w:leftChars="64" w:left="141"/>
        <w:jc w:val="both"/>
        <w:rPr>
          <w:rFonts w:ascii="Times New Roman" w:hAnsi="Times New Roman" w:cs="Times New Roman"/>
          <w:sz w:val="24"/>
        </w:rPr>
      </w:pPr>
      <w:r>
        <w:rPr>
          <w:rFonts w:ascii="Times New Roman" w:hAnsi="Times New Roman" w:cs="Times New Roman"/>
          <w:sz w:val="24"/>
        </w:rPr>
        <w:t xml:space="preserve">Increasing urban mobility is the right step for the Jakarta government to take in dealing with this transportation problem. Prioritizing the use of </w:t>
      </w:r>
      <w:r w:rsidR="00C53878">
        <w:rPr>
          <w:rFonts w:ascii="Times New Roman" w:hAnsi="Times New Roman" w:cs="Times New Roman"/>
          <w:sz w:val="24"/>
        </w:rPr>
        <w:t>public-</w:t>
      </w:r>
      <w:r>
        <w:rPr>
          <w:rFonts w:ascii="Times New Roman" w:hAnsi="Times New Roman" w:cs="Times New Roman"/>
          <w:sz w:val="24"/>
        </w:rPr>
        <w:t xml:space="preserve">private vehicle transportation by improving public transportation services to be more efficient and affordable, providing safe and comfortable walking paths, and providing environmentally friendly transportation facilities, such as bicycles with a sharing system Increasing urban mobility is the right step for the Jakarta government to take in dealing with this transportation problem. Prioritizing the use of </w:t>
      </w:r>
      <w:r w:rsidR="00C53878">
        <w:rPr>
          <w:rFonts w:ascii="Times New Roman" w:hAnsi="Times New Roman" w:cs="Times New Roman"/>
          <w:sz w:val="24"/>
        </w:rPr>
        <w:t>public-</w:t>
      </w:r>
      <w:r>
        <w:rPr>
          <w:rFonts w:ascii="Times New Roman" w:hAnsi="Times New Roman" w:cs="Times New Roman"/>
          <w:sz w:val="24"/>
        </w:rPr>
        <w:t xml:space="preserve">private vehicle transportation by improving public transportation services to be more efficient and affordable, providing safe and comfortable walking paths, and providing environmentally friendly transportation facilities, such as bicycles with a sharing system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{"citationItems":[{"id":"ITEM-1","itemData":{"author":[{"dropping-particle":"","family":"Initiative","given":"Indonesia Infrastructure","non-dropping-particle":"","parse-names":false,"suffix":""}],"container-title":"Prakarsa","id":"ITEM-1","issue":"6","issued":{"date-parts":[["2011"]]},"title":"Urban Mobility","type":"article-journal"},"uris":["http://www.mendeley.com/documents/?uuid=a25082e0-7816-498c-af58-52d7afc518da"]},{"id":"ITEM-2","itemData":{"DOI":"10.1016/j.trc.2019.04.006","ISSN":"0968090X","abstract":"Public bike-sharing has gained much attention with the tide of sharing economy. Empowered by modern technologies (e.g., GPS devices and smartphone-based APPs), a new generation of free-floating bike-sharing systems has recently become popular. Usage data generated by such systems produce rich information. This study presents a model framework to explore the spatio-temporal usage patterns of free-floating shared bikes using the usage data. The framework includes modules of probability fitting, Random Forest, a cluster-based time-domain analysis, and a visualization toolset. A case study is discussed based on the usage data from Mobike, one of the largest operating bike-sharing systems in Shanghai (China). The daily usage dynamics is modeled using log-normal distributions. Random Forest is adopted to explore the impact of factors on the usage frequency in different districts. It is found that residential area, park &amp; green area, and population size are the top three factors influencing the frequency. Particularly, usage near metro stations is delved using the hierarchical clustering method, resulting in three typical usage modes. Visualization analysis is demonstrated to understand the time-varying flow patterns and the spatial distribution of shared bikes. This study improves our understanding of the usage patterns of this emerging transport mode and provides insights for the promotion and dynamic deployment of the bike-sharing system in urban areas.","author":[{"dropping-particle":"","family":"Du","given":"Yuchuan","non-dropping-particle":"","parse-names":false,"suffix":""},{"dropping-particle":"","family":"Deng","given":"Fuwen","non-dropping-particle":"","parse-names":false,"suffix":""},{"dropping-particle":"","family":"Liao","given":"Feixiong","non-dropping-particle":"","parse-names":false,"suffix":""}],"container-title":"Transportation Research Part C: Emerging Technologies","id":"ITEM-2","issue":"April","issued":{"date-parts":[["2019"]]},"page":"39-55","publisher":"Elsevier","title":"A model framework for discovering the spatio-temporal usage patterns of public free-floating bike-sharing system","type":"article-journal","volume":"103"},"uris":["http://www.mendeley.com/documents/?uuid=7f437843-9126-4954-a6a1-a21b038d1b0c"]}],"mendeley":{"formattedCitation":"(Du et al., 2019; Initiative, 2011)","plainTextFormattedCitation":"(Du et al., 2019; Initiative, 2011)","previouslyFormattedCitation":"(Du et al., 2019; Initiative, 2011)"},"properties":{"noteIndex":0},"schema":"https://github.com/citation-style-language/schema/raw/master/csl-citation.json"}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 xml:space="preserve">(Du et al., 2019; </w:t>
      </w:r>
      <w:r>
        <w:rPr>
          <w:rFonts w:ascii="Times New Roman" w:hAnsi="Times New Roman" w:cs="Times New Roman"/>
          <w:sz w:val="24"/>
        </w:rPr>
        <w:lastRenderedPageBreak/>
        <w:t>Initiative, 2011)</w:t>
      </w:r>
      <w:r>
        <w:rPr>
          <w:rFonts w:ascii="Times New Roman" w:hAnsi="Times New Roman" w:cs="Times New Roman"/>
          <w:sz w:val="24"/>
        </w:rPr>
        <w:fldChar w:fldCharType="end"/>
      </w:r>
      <w:r>
        <w:rPr>
          <w:rFonts w:ascii="Times New Roman" w:hAnsi="Times New Roman" w:cs="Times New Roman"/>
          <w:sz w:val="24"/>
        </w:rPr>
        <w:t>. Innovations in mobility have now also penetrated the field of technology, for example through applications, social networks, and economic sharing practices.</w:t>
      </w:r>
    </w:p>
    <w:p w14:paraId="0A780942" w14:textId="77777777" w:rsidR="00687CB5" w:rsidRDefault="0088594F" w:rsidP="00D23533">
      <w:pPr>
        <w:ind w:leftChars="64" w:left="141"/>
        <w:jc w:val="both"/>
        <w:rPr>
          <w:rFonts w:ascii="Times New Roman" w:hAnsi="Times New Roman" w:cs="Times New Roman"/>
          <w:sz w:val="24"/>
        </w:rPr>
      </w:pPr>
      <w:r>
        <w:rPr>
          <w:rFonts w:ascii="Times New Roman" w:hAnsi="Times New Roman" w:cs="Times New Roman"/>
          <w:sz w:val="24"/>
        </w:rPr>
        <w:t xml:space="preserve">Nowadays, multiple sharing devices provide an effect that offers innovative solutions to support mobility supplies. These sharing tools use a tool that can be used by all users, with new systems that can generate knowledge and services, and by supporting symmetrical information in the urban mobility market. Innovations in mobility have now also penetrated the field of technology, for example through applications, social networks, and economic sharing practices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{"citationItems":[{"id":"ITEM-1","itemData":{"DOI":"10.1016/j.cities.2018.11.007","ISSN":"02642751","abstract":"The innovation recently brought into the market for mobility innovation (by apps, social networks and sharing economy practices) impacts upon the economic appeal of urban areas and strongly influences the preferences of individuals in happiness, lifestyles and related aspect of urban consumption. Several sharing devices are nowadays producing such effects, offering innovative solutions to support the availability of mobility supply. They do so by conveying useful tools to the whole community of users, by proposing new ways of producing knowledge and services, and by favoring symmetric information in the urban mobility market. The paper aims to discuss the impact of these innovation devices in shaping individual's mobility preferences, by drawing on a wide set of experiences that have introduced new technologies and shared mobility practices that provide significant information related to mobility. Drawing on a literature review referred to a wide set of new technologies and shared mobility practices based on significant information related to mobility, the paper draws its discussion on three analytical dimensions: the role that information has in shaping individual mobility choices, and how it may interact with individual preferences and needs; the varied forms of relevant mobility information made available by information-sharing devices; the many actors (corporations, public administrations, community groups…) who produce information collecting data and making them available in different forms. Drawing on these elements, a policy framework is discussed, to define suitable operational approaches to urban mobility that are more attentive to individual needs and more effective in terms of sustainability.","author":[{"dropping-particle":"","family":"Vecchio","given":"Giovanni","non-dropping-particle":"","parse-names":false,"suffix":""},{"dropping-particle":"","family":"Tricarico","given":"Luca","non-dropping-particle":"","parse-names":false,"suffix":""}],"container-title":"Cities","id":"ITEM-1","issue":"November 2018","issued":{"date-parts":[["2019"]]},"page":"261-268","publisher":"Elsevier","title":"“May the Force move you”: Roles and actors of information sharing devices in urban mobility","type":"article-journal","volume":"88"},"uris":["http://www.mendeley.com/documents/?uuid=4bba02dc-9d40-4782-b873-b0fb84cb3807"]}],"mendeley":{"formattedCitation":"(Vecchio &amp; Tricarico, 2019)","plainTextFormattedCitation":"(Vecchio &amp; Tricarico, 2019)","previouslyFormattedCitation":"(Vecchio &amp; Tricarico, 2019)"},"properties":{"noteIndex":0},"schema":"https://github.com/citation-style-language/schema/raw/master/csl-citation.json"}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(Vecchio &amp; Tricarico, 2019)</w:t>
      </w:r>
      <w:r>
        <w:rPr>
          <w:rFonts w:ascii="Times New Roman" w:hAnsi="Times New Roman" w:cs="Times New Roman"/>
          <w:sz w:val="24"/>
        </w:rPr>
        <w:fldChar w:fldCharType="end"/>
      </w:r>
      <w:r>
        <w:rPr>
          <w:rFonts w:ascii="Times New Roman" w:hAnsi="Times New Roman" w:cs="Times New Roman"/>
          <w:sz w:val="24"/>
        </w:rPr>
        <w:t>.</w:t>
      </w:r>
    </w:p>
    <w:p w14:paraId="3A07D3C3" w14:textId="77777777" w:rsidR="00687CB5" w:rsidRDefault="00687CB5">
      <w:pPr>
        <w:spacing w:before="7"/>
        <w:rPr>
          <w:rFonts w:ascii="Times New Roman" w:eastAsia="Times New Roman" w:hAnsi="Times New Roman" w:cs="Times New Roman"/>
          <w:b/>
          <w:bCs/>
          <w:sz w:val="23"/>
          <w:szCs w:val="23"/>
        </w:rPr>
      </w:pPr>
    </w:p>
    <w:p w14:paraId="5953AED0" w14:textId="77777777" w:rsidR="00687CB5" w:rsidRDefault="0088594F">
      <w:pPr>
        <w:pStyle w:val="Heading1"/>
        <w:numPr>
          <w:ilvl w:val="1"/>
          <w:numId w:val="1"/>
        </w:numPr>
        <w:tabs>
          <w:tab w:val="left" w:pos="480"/>
        </w:tabs>
        <w:ind w:left="479" w:hanging="360"/>
        <w:jc w:val="both"/>
        <w:rPr>
          <w:b w:val="0"/>
          <w:bCs w:val="0"/>
        </w:rPr>
      </w:pPr>
      <w:r>
        <w:rPr>
          <w:spacing w:val="1"/>
        </w:rPr>
        <w:t>Proximity Analysis</w:t>
      </w:r>
    </w:p>
    <w:p w14:paraId="4196D258" w14:textId="3714690C" w:rsidR="00687CB5" w:rsidRDefault="0088594F" w:rsidP="00D23533">
      <w:pPr>
        <w:pStyle w:val="BodyText"/>
        <w:spacing w:before="50"/>
        <w:ind w:leftChars="64" w:left="141" w:right="108"/>
        <w:jc w:val="both"/>
        <w:rPr>
          <w:spacing w:val="-2"/>
        </w:rPr>
      </w:pPr>
      <w:r>
        <w:rPr>
          <w:spacing w:val="-2"/>
        </w:rPr>
        <w:t xml:space="preserve">Proximity analysis is a technique used to analyze the closeness between two elements. In its application, proximity analysis helps analyze how the relationship of an element with other elements are related </w:t>
      </w:r>
      <w:r>
        <w:rPr>
          <w:spacing w:val="-2"/>
        </w:rPr>
        <w:fldChar w:fldCharType="begin" w:fldLock="1"/>
      </w:r>
      <w:r>
        <w:rPr>
          <w:spacing w:val="-2"/>
        </w:rPr>
        <w:instrText>ADDIN CSL_CITATION {"citationItems":[{"id":"ITEM-1","itemData":{"DOI":"10.1016/j.landurbplan.2017.12.003","ISSN":"01692046","abstract":"Idle brownfields in urban settings are potential resources that could be put to productive use, meeting the goals of urban intensification, helping to curb urban sprawl on the periphery and benefiting communities living around sites. Various decision support tools exist in order to evaluate redevelopment scenarios. Spatial decision support systems have recently been developed to aid in evaluating the implications of the physical attributes of redevelopment scenarios, with a limited focus on the proximity of essential amenities to the local community. The application of proximity analysis in this context supports stakeholders in determining which social amenities are furthest from the local community and the extent to which including such amenities on-site would benefit the local community. A geographic information system based proximity analysis approach is presented specifically for this purpose. The distribution of walking distances for local households is compared to scenarios in which specific social amenities are included on-site. The approach is demonstrated using an abandoned brownfield case study in the Flemish region of Belgium. The local community would benefit most from having a doctor and pharmacy on-site in terms reduced walking distance. The inclusion of other amenities on-site such as employment, schools, green space, meeting places and shops also shortens walking distances for the local community but to a limited extent in comparison to a doctor and a pharmacy. ‘Walking distance’ is an indicator that is easily understood by stakeholders and the approach lays the foundation for more detailed analyses that would include frequency of visits.","author":[{"dropping-particle":"","family":"Beames","given":"Alistair","non-dropping-particle":"","parse-names":false,"suffix":""},{"dropping-particle":"","family":"Broekx","given":"Steven","non-dropping-particle":"","parse-names":false,"suffix":""},{"dropping-particle":"","family":"Schneidewind","given":"Uwe","non-dropping-particle":"","parse-names":false,"suffix":""},{"dropping-particle":"","family":"Landuyt","given":"Dries","non-dropping-particle":"","parse-names":false,"suffix":""},{"dropping-particle":"","family":"Meulen","given":"Maarten","non-dropping-particle":"van der","parse-names":false,"suffix":""},{"dropping-particle":"","family":"Heijungs","given":"Reinout","non-dropping-particle":"","parse-names":false,"suffix":""},{"dropping-particle":"","family":"Seuntjens","given":"Piet","non-dropping-particle":"","parse-names":false,"suffix":""}],"container-title":"Landscape and Urban Planning","id":"ITEM-1","issue":"March","issued":{"date-parts":[["2018"]]},"page":"68-79","publisher":"Elsevier","title":"Amenity proximity analysis for sustainable brownfield redevelopment planning","type":"article-journal","volume":"171"},"uris":["http://www.mendeley.com/documents/?uuid=31f4d475-00bf-476b-b5cb-3e3063ee1419"]}],"mendeley":{"formattedCitation":"(Beames et al., 2018)","plainTextFormattedCitation":"(Beames et al., 2018)","previouslyFormattedCitation":"(Beames et al., 2018)"},"properties":{"noteIndex":0},"schema":"https://github.com/citation-style-language/schema/raw/master/csl-citation.json"}</w:instrText>
      </w:r>
      <w:r>
        <w:rPr>
          <w:spacing w:val="-2"/>
        </w:rPr>
        <w:fldChar w:fldCharType="separate"/>
      </w:r>
      <w:r>
        <w:rPr>
          <w:spacing w:val="-2"/>
        </w:rPr>
        <w:t>(Beames et al., 2018)</w:t>
      </w:r>
      <w:r>
        <w:rPr>
          <w:spacing w:val="-2"/>
        </w:rPr>
        <w:fldChar w:fldCharType="end"/>
      </w:r>
      <w:r>
        <w:rPr>
          <w:spacing w:val="-2"/>
        </w:rPr>
        <w:t xml:space="preserve">. One application is to analyze the potential access to health care with the environment </w:t>
      </w:r>
      <w:r>
        <w:rPr>
          <w:spacing w:val="-2"/>
        </w:rPr>
        <w:fldChar w:fldCharType="begin" w:fldLock="1"/>
      </w:r>
      <w:r>
        <w:rPr>
          <w:spacing w:val="-2"/>
        </w:rPr>
        <w:instrText>ADDIN CSL_CITATION {"citationItems":[{"id":"ITEM-1","itemData":{"DOI":"10.1016/j.healthplace.2012.03.007","ISSN":"18732054","abstract":"The availability of, and access to, primary health care is one neighbourhood characteristic that has the potential to impact health thus representing an important area of focus for neighbourhood-health research. This research examines neighbourhood access to primary health care in the city of Mississauga, Ontario, Canada. A modification of the Two Step Floating Catchment Area method is used to measure multiple spatial and aspatial (social) dimensions of potential access to primary health care in natural neighbourhoods of Mississauga. The analysis reveals that neighbourhood-level potential access to primary care is dependant on spatial and aspatial dimensions of access selected for examination. The results also show that potential accessibility is reduced for linguistic minorities as well as for recent immigrant populations who appear, on the surface, to have better access to walk-in clinics than dedicated physicians. The research results reinforce the importance of focusing on intra-urban variations in access to care and demonstrate the utility of a new approach for studying neighbourhood impacts that better represents spatial variations in health care access and demand. © 2012 Elsevier Ltd.","author":[{"dropping-particle":"","family":"Bissonnette","given":"Laura","non-dropping-particle":"","parse-names":false,"suffix":""},{"dropping-particle":"","family":"Wilson","given":"Kathi","non-dropping-particle":"","parse-names":false,"suffix":""},{"dropping-particle":"","family":"Bell","given":"Scott","non-dropping-particle":"","parse-names":false,"suffix":""},{"dropping-particle":"","family":"Shah","given":"Tayyab Ikram","non-dropping-particle":"","parse-names":false,"suffix":""}],"container-title":"Health and Place","id":"ITEM-1","issue":"4","issued":{"date-parts":[["2012"]]},"page":"841-853","publisher":"Elsevier","title":"Neighbourhoods and potential access to health care: The role of spatial and aspatial factors","type":"article-journal","volume":"18"},"uris":["http://www.mendeley.com/documents/?uuid=12976440-d43a-4721-a96e-e052fd55842c"]}],"mendeley":{"formattedCitation":"(Bissonnette et al., 2012)","plainTextFormattedCitation":"(Bissonnette et al., 2012)","previouslyFormattedCitation":"(Bissonnette et al., 2012)"},"properties":{"noteIndex":0},"schema":"https://github.com/citation-style-language/schema/raw/master/csl-citation.json"}</w:instrText>
      </w:r>
      <w:r>
        <w:rPr>
          <w:spacing w:val="-2"/>
        </w:rPr>
        <w:fldChar w:fldCharType="separate"/>
      </w:r>
      <w:r>
        <w:rPr>
          <w:spacing w:val="-2"/>
        </w:rPr>
        <w:t>(Bissonnette et al., 2012)</w:t>
      </w:r>
      <w:r>
        <w:rPr>
          <w:spacing w:val="-2"/>
        </w:rPr>
        <w:fldChar w:fldCharType="end"/>
      </w:r>
      <w:r>
        <w:rPr>
          <w:spacing w:val="-2"/>
        </w:rPr>
        <w:t xml:space="preserve">. This analysis </w:t>
      </w:r>
      <w:r w:rsidR="00481476">
        <w:rPr>
          <w:spacing w:val="-2"/>
        </w:rPr>
        <w:t>use</w:t>
      </w:r>
      <w:r w:rsidR="00481476">
        <w:rPr>
          <w:spacing w:val="-2"/>
        </w:rPr>
        <w:t>d</w:t>
      </w:r>
      <w:r w:rsidR="00481476">
        <w:rPr>
          <w:spacing w:val="-2"/>
        </w:rPr>
        <w:t xml:space="preserve"> </w:t>
      </w:r>
      <w:r>
        <w:rPr>
          <w:spacing w:val="-2"/>
        </w:rPr>
        <w:t>GIS (Geographical Information System) software to process the spatial data used. Some of the features that can be used in GIS, e.g. supports the creation of buffer zones, determining the distance of a point from another, allocating certain points to an area, and analyzing the travel path along</w:t>
      </w:r>
      <w:r w:rsidR="00C53878">
        <w:rPr>
          <w:spacing w:val="-2"/>
        </w:rPr>
        <w:t xml:space="preserve"> with</w:t>
      </w:r>
      <w:r>
        <w:rPr>
          <w:spacing w:val="-2"/>
        </w:rPr>
        <w:t xml:space="preserve"> the network </w:t>
      </w:r>
      <w:r>
        <w:rPr>
          <w:spacing w:val="-2"/>
        </w:rPr>
        <w:fldChar w:fldCharType="begin" w:fldLock="1"/>
      </w:r>
      <w:r>
        <w:rPr>
          <w:spacing w:val="-2"/>
        </w:rPr>
        <w:instrText>ADDIN CSL_CITATION {"citationItems":[{"id":"ITEM-1","itemData":{"DOI":"10.1016/j.landurbplan.2017.12.003","ISSN":"01692046","abstract":"Idle brownfields in urban settings are potential resources that could be put to productive use, meeting the goals of urban intensification, helping to curb urban sprawl on the periphery and benefiting communities living around sites. Various decision support tools exist in order to evaluate redevelopment scenarios. Spatial decision support systems have recently been developed to aid in evaluating the implications of the physical attributes of redevelopment scenarios, with a limited focus on the proximity of essential amenities to the local community. The application of proximity analysis in this context supports stakeholders in determining which social amenities are furthest from the local community and the extent to which including such amenities on-site would benefit the local community. A geographic information system based proximity analysis approach is presented specifically for this purpose. The distribution of walking distances for local households is compared to scenarios in which specific social amenities are included on-site. The approach is demonstrated using an abandoned brownfield case study in the Flemish region of Belgium. The local community would benefit most from having a doctor and pharmacy on-site in terms reduced walking distance. The inclusion of other amenities on-site such as employment, schools, green space, meeting places and shops also shortens walking distances for the local community but to a limited extent in comparison to a doctor and a pharmacy. ‘Walking distance’ is an indicator that is easily understood by stakeholders and the approach lays the foundation for more detailed analyses that would include frequency of visits.","author":[{"dropping-particle":"","family":"Beames","given":"Alistair","non-dropping-particle":"","parse-names":false,"suffix":""},{"dropping-particle":"","family":"Broekx","given":"Steven","non-dropping-particle":"","parse-names":false,"suffix":""},{"dropping-particle":"","family":"Schneidewind","given":"Uwe","non-dropping-particle":"","parse-names":false,"suffix":""},{"dropping-particle":"","family":"Landuyt","given":"Dries","non-dropping-particle":"","parse-names":false,"suffix":""},{"dropping-particle":"","family":"Meulen","given":"Maarten","non-dropping-particle":"van der","parse-names":false,"suffix":""},{"dropping-particle":"","family":"Heijungs","given":"Reinout","non-dropping-particle":"","parse-names":false,"suffix":""},{"dropping-particle":"","family":"Seuntjens","given":"Piet","non-dropping-particle":"","parse-names":false,"suffix":""}],"container-title":"Landscape and Urban Planning","id":"ITEM-1","issue":"March","issued":{"date-parts":[["2018"]]},"page":"68-79","publisher":"Elsevier","title":"Amenity proximity analysis for sustainable brownfield redevelopment planning","type":"article-journal","volume":"171"},"uris":["http://www.mendeley.com/documents/?uuid=31f4d475-00bf-476b-b5cb-3e3063ee1419"]}],"mendeley":{"formattedCitation":"(Beames et al., 2018)","plainTextFormattedCitation":"(Beames et al., 2018)","previouslyFormattedCitation":"(Beames et al., 2018)"},"properties":{"noteIndex":0},"schema":"https://github.com/citation-style-language/schema/raw/master/csl-citation.json"}</w:instrText>
      </w:r>
      <w:r>
        <w:rPr>
          <w:spacing w:val="-2"/>
        </w:rPr>
        <w:fldChar w:fldCharType="separate"/>
      </w:r>
      <w:r>
        <w:rPr>
          <w:spacing w:val="-2"/>
        </w:rPr>
        <w:t>(Beames et al., 2018)</w:t>
      </w:r>
      <w:r>
        <w:rPr>
          <w:spacing w:val="-2"/>
        </w:rPr>
        <w:fldChar w:fldCharType="end"/>
      </w:r>
      <w:r>
        <w:rPr>
          <w:spacing w:val="-2"/>
        </w:rPr>
        <w:t>.</w:t>
      </w:r>
    </w:p>
    <w:p w14:paraId="52105E99" w14:textId="5CEAE674" w:rsidR="00687CB5" w:rsidRDefault="0088594F" w:rsidP="00D23533">
      <w:pPr>
        <w:pStyle w:val="BodyText"/>
        <w:spacing w:before="50"/>
        <w:ind w:leftChars="64" w:left="141" w:right="108"/>
        <w:jc w:val="both"/>
        <w:rPr>
          <w:spacing w:val="-2"/>
        </w:rPr>
      </w:pPr>
      <w:r>
        <w:rPr>
          <w:spacing w:val="-2"/>
        </w:rPr>
        <w:t>In this study, proximity analysis is used to analyze the relationship between bicycle facilities and other public facilities. Determination of the location of the bicycle facility is very concerned about the surrounding facilities so that it is easily accessible by residents. According to Tobler, the first law of geography states that "Everything is related to everything else, but things that are closer are more related than things that are far away"</w:t>
      </w:r>
      <w:r w:rsidR="00481476">
        <w:rPr>
          <w:spacing w:val="-2"/>
        </w:rPr>
        <w:t xml:space="preserve"> (Tobler, 1970).</w:t>
      </w:r>
      <w:r>
        <w:rPr>
          <w:spacing w:val="-2"/>
        </w:rPr>
        <w:t xml:space="preserve"> That is, the service facilities that are built are related to other facilities that are close to the location of the facility providers so that the interactions that occur will determine whether these facilities are suitable for their location</w:t>
      </w:r>
      <w:r w:rsidR="00481476">
        <w:rPr>
          <w:spacing w:val="-2"/>
        </w:rPr>
        <w:t xml:space="preserve"> </w:t>
      </w:r>
      <w:r w:rsidR="00481476">
        <w:rPr>
          <w:spacing w:val="-2"/>
        </w:rPr>
        <w:fldChar w:fldCharType="begin" w:fldLock="1"/>
      </w:r>
      <w:r w:rsidR="00481476">
        <w:rPr>
          <w:spacing w:val="-2"/>
        </w:rPr>
        <w:instrText>ADDIN CSL_CITATION {"citationItems":[{"id":"ITEM-1","itemData":{"DOI":"10.1080/21681015.2020.1823495","ISSN":"21681023","abstract":"This study aims to discover the spatial patterns of fast-food restaurants in Jakarta, an Indonesian megacity. The location of fast-food restaurants tends to cluster with the Nearest Neighbor Index of 0.41. The average surface distribution (estimated by Kernel Density Estimation) shows at least 20 locations that have densities between 4-7 fast-food restaurants. The co-location rules, as the results of transaction-based co-location pattern mining, revealed six main activities that affect the location behavior of fast-food restaurants, namely leisure time/shopping, traveling, education, religious activities, health activities, work activities. These refer to 11 minor attributes of public facilities with the Participation Index more than 50% and at a distance less than 1 km. Foodservice providers can employ the co-location rules in determining locations for their brand expansion to other regions. The research framework to mine up information based on spatial data can be utilized both for business and academic needs for other purposes.","author":[{"dropping-particle":"","family":"Widaningrum","given":"Dyah Lestari","non-dropping-particle":"","parse-names":false,"suffix":""},{"dropping-particle":"","family":"Surjandari","given":"Isti","non-dropping-particle":"","parse-names":false,"suffix":""},{"dropping-particle":"","family":"Sudiana","given":"Dodi","non-dropping-particle":"","parse-names":false,"suffix":""}],"container-title":"Journal of Industrial and Production Engineering","id":"ITEM-1","issue":"00","issued":{"date-parts":[["2020"]]},"page":"1-19","publisher":"Taylor &amp; Francis","title":"Discovering spatial patterns of fast-food restaurants in Jakarta, Indonesia","type":"article-journal","volume":"00"},"uris":["http://www.mendeley.com/documents/?uuid=0084acab-9fbd-4789-93fd-7aa7c3b9ea91"]}],"mendeley":{"formattedCitation":"(Widaningrum et al., 2020)","plainTextFormattedCitation":"(Widaningrum et al., 2020)","previouslyFormattedCitation":"(Widaningrum et al., 2020)"},"properties":{"noteIndex":0},"schema":"https://github.com/citation-style-language/schema/raw/master/csl-citation.json"}</w:instrText>
      </w:r>
      <w:r w:rsidR="00481476">
        <w:rPr>
          <w:spacing w:val="-2"/>
        </w:rPr>
        <w:fldChar w:fldCharType="separate"/>
      </w:r>
      <w:r w:rsidR="00481476">
        <w:rPr>
          <w:spacing w:val="-2"/>
        </w:rPr>
        <w:t>(Widaningrum et al., 2020)</w:t>
      </w:r>
      <w:r w:rsidR="00481476">
        <w:rPr>
          <w:spacing w:val="-2"/>
        </w:rPr>
        <w:fldChar w:fldCharType="end"/>
      </w:r>
      <w:r w:rsidR="00481476">
        <w:rPr>
          <w:spacing w:val="-2"/>
        </w:rPr>
        <w:t xml:space="preserve">. </w:t>
      </w:r>
      <w:r w:rsidR="00481476">
        <w:rPr>
          <w:spacing w:val="-2"/>
        </w:rPr>
        <w:t xml:space="preserve"> </w:t>
      </w:r>
      <w:r>
        <w:rPr>
          <w:spacing w:val="-2"/>
        </w:rPr>
        <w:t xml:space="preserve">The proximity analysis of this study uses GIS assistance to review the relationship between the location of bicycle facilities and other public facilities to determine a strategic location. GIS is very helpful for researchers to determine suitable locations that can later be used in decision making </w:t>
      </w:r>
      <w:r>
        <w:rPr>
          <w:spacing w:val="-2"/>
        </w:rPr>
        <w:fldChar w:fldCharType="begin" w:fldLock="1"/>
      </w:r>
      <w:r>
        <w:rPr>
          <w:spacing w:val="-2"/>
        </w:rPr>
        <w:instrText>ADDIN CSL_CITATION {"citationItems":[{"id":"ITEM-1","itemData":{"DOI":"10.1016/j.landurbplan.2017.12.003","ISSN":"01692046","abstract":"Idle brownfields in urban settings are potential resources that could be put to productive use, meeting the goals of urban intensification, helping to curb urban sprawl on the periphery and benefiting communities living around sites. Various decision support tools exist in order to evaluate redevelopment scenarios. Spatial decision support systems have recently been developed to aid in evaluating the implications of the physical attributes of redevelopment scenarios, with a limited focus on the proximity of essential amenities to the local community. The application of proximity analysis in this context supports stakeholders in determining which social amenities are furthest from the local community and the extent to which including such amenities on-site would benefit the local community. A geographic information system based proximity analysis approach is presented specifically for this purpose. The distribution of walking distances for local households is compared to scenarios in which specific social amenities are included on-site. The approach is demonstrated using an abandoned brownfield case study in the Flemish region of Belgium. The local community would benefit most from having a doctor and pharmacy on-site in terms reduced walking distance. The inclusion of other amenities on-site such as employment, schools, green space, meeting places and shops also shortens walking distances for the local community but to a limited extent in comparison to a doctor and a pharmacy. ‘Walking distance’ is an indicator that is easily understood by stakeholders and the approach lays the foundation for more detailed analyses that would include frequency of visits.","author":[{"dropping-particle":"","family":"Beames","given":"Alistair","non-dropping-particle":"","parse-names":false,"suffix":""},{"dropping-particle":"","family":"Broekx","given":"Steven","non-dropping-particle":"","parse-names":false,"suffix":""},{"dropping-particle":"","family":"Schneidewind","given":"Uwe","non-dropping-particle":"","parse-names":false,"suffix":""},{"dropping-particle":"","family":"Landuyt","given":"Dries","non-dropping-particle":"","parse-names":false,"suffix":""},{"dropping-particle":"","family":"Meulen","given":"Maarten","non-dropping-particle":"van der","parse-names":false,"suffix":""},{"dropping-particle":"","family":"Heijungs","given":"Reinout","non-dropping-particle":"","parse-names":false,"suffix":""},{"dropping-particle":"","family":"Seuntjens","given":"Piet","non-dropping-particle":"","parse-names":false,"suffix":""}],"container-title":"Landscape and Urban Planning","id":"ITEM-1","issue":"March","issued":{"date-parts":[["2018"]]},"page":"68-79","publisher":"Elsevier","title":"Amenity proximity analysis for sustainable brownfield redevelopment planning","type":"article-journal","volume":"171"},"uris":["http://www.mendeley.com/documents/?uuid=31f4d475-00bf-476b-b5cb-3e3063ee1419"]}],"mendeley":{"formattedCitation":"(Beames et al., 2018)","plainTextFormattedCitation":"(Beames et al., 2018)","previouslyFormattedCitation":"(Beames et al., 2018)"},"properties":{"noteIndex":0},"schema":"https://github.com/citation-style-language/schema/raw/master/csl-citation.json"}</w:instrText>
      </w:r>
      <w:r>
        <w:rPr>
          <w:spacing w:val="-2"/>
        </w:rPr>
        <w:fldChar w:fldCharType="separate"/>
      </w:r>
      <w:r>
        <w:rPr>
          <w:spacing w:val="-2"/>
        </w:rPr>
        <w:t>(Beames et al., 2018)</w:t>
      </w:r>
      <w:r>
        <w:rPr>
          <w:spacing w:val="-2"/>
        </w:rPr>
        <w:fldChar w:fldCharType="end"/>
      </w:r>
      <w:r>
        <w:rPr>
          <w:spacing w:val="-2"/>
        </w:rPr>
        <w:t>. This decision making will determine the location of the bicycle facility provider which is strategic and easily accessible to residents.</w:t>
      </w:r>
    </w:p>
    <w:p w14:paraId="5909EB3F" w14:textId="77777777" w:rsidR="00687CB5" w:rsidRDefault="00687CB5">
      <w:pPr>
        <w:spacing w:before="7"/>
        <w:rPr>
          <w:rFonts w:ascii="Times New Roman" w:eastAsia="Times New Roman" w:hAnsi="Times New Roman" w:cs="Times New Roman"/>
          <w:sz w:val="24"/>
          <w:szCs w:val="24"/>
        </w:rPr>
      </w:pPr>
    </w:p>
    <w:p w14:paraId="6C92BDA7" w14:textId="77777777" w:rsidR="00687CB5" w:rsidRDefault="0088594F" w:rsidP="00D23533">
      <w:pPr>
        <w:pStyle w:val="Heading1"/>
        <w:numPr>
          <w:ilvl w:val="0"/>
          <w:numId w:val="1"/>
        </w:numPr>
        <w:tabs>
          <w:tab w:val="left" w:pos="422"/>
        </w:tabs>
        <w:spacing w:line="480" w:lineRule="auto"/>
        <w:jc w:val="both"/>
        <w:rPr>
          <w:b w:val="0"/>
          <w:bCs w:val="0"/>
        </w:rPr>
      </w:pPr>
      <w:r>
        <w:t>DATA SOURCES AND METHODS</w:t>
      </w:r>
    </w:p>
    <w:p w14:paraId="5482B3D7" w14:textId="77777777" w:rsidR="00687CB5" w:rsidRDefault="0088594F" w:rsidP="00D23533">
      <w:pPr>
        <w:pStyle w:val="Heading1"/>
        <w:numPr>
          <w:ilvl w:val="1"/>
          <w:numId w:val="1"/>
        </w:numPr>
        <w:tabs>
          <w:tab w:val="left" w:pos="485"/>
        </w:tabs>
        <w:ind w:left="119" w:right="7201" w:firstLine="0"/>
        <w:rPr>
          <w:b w:val="0"/>
          <w:bCs w:val="0"/>
        </w:rPr>
      </w:pPr>
      <w:r>
        <w:t>Data</w:t>
      </w:r>
    </w:p>
    <w:p w14:paraId="133D322C" w14:textId="54BA48E9" w:rsidR="00687CB5" w:rsidRDefault="0088594F" w:rsidP="00D23533">
      <w:pPr>
        <w:pStyle w:val="BodyText"/>
        <w:spacing w:before="6" w:line="242" w:lineRule="auto"/>
        <w:ind w:leftChars="64" w:left="141" w:right="123"/>
        <w:jc w:val="both"/>
        <w:rPr>
          <w:spacing w:val="-2"/>
        </w:rPr>
      </w:pPr>
      <w:r>
        <w:rPr>
          <w:spacing w:val="-2"/>
        </w:rPr>
        <w:t xml:space="preserve">In analyzing the interaction between bicycle facilities and other public facilities, the data used are in the form of the location of the distribution of bicycle facilities in </w:t>
      </w:r>
      <w:r w:rsidR="0020253B">
        <w:rPr>
          <w:spacing w:val="-2"/>
        </w:rPr>
        <w:t>Jakarta Greater Area</w:t>
      </w:r>
      <w:r>
        <w:rPr>
          <w:spacing w:val="-2"/>
        </w:rPr>
        <w:t xml:space="preserve">, a map of the </w:t>
      </w:r>
      <w:r w:rsidR="0020253B">
        <w:rPr>
          <w:spacing w:val="-2"/>
        </w:rPr>
        <w:t xml:space="preserve">Jakarta Greater </w:t>
      </w:r>
      <w:r>
        <w:rPr>
          <w:spacing w:val="-2"/>
        </w:rPr>
        <w:t xml:space="preserve"> area, and POI (Point of Interest) locations. The </w:t>
      </w:r>
      <w:r w:rsidR="0020253B">
        <w:rPr>
          <w:spacing w:val="-2"/>
        </w:rPr>
        <w:t>Jakarta Greater Area</w:t>
      </w:r>
      <w:r>
        <w:rPr>
          <w:spacing w:val="-2"/>
        </w:rPr>
        <w:t xml:space="preserve"> location was taken as the research location because of the development of mobility which continues to grow and develop in line with population growth which is increasingly increasing. Bicycle facilities are obtained from geocoding of the distribution of </w:t>
      </w:r>
      <w:r w:rsidR="00C53878">
        <w:rPr>
          <w:spacing w:val="-2"/>
        </w:rPr>
        <w:t>bike-</w:t>
      </w:r>
      <w:r>
        <w:rPr>
          <w:spacing w:val="-2"/>
        </w:rPr>
        <w:t>sharing, bike parking, and bicycle rental through Google Maps. The distribution of the coordinates of this bicycle facility is taken for Jakarta, Bogor, Depok, Tangerang</w:t>
      </w:r>
      <w:r w:rsidR="00C53878">
        <w:rPr>
          <w:spacing w:val="-2"/>
        </w:rPr>
        <w:t>,</w:t>
      </w:r>
      <w:r>
        <w:rPr>
          <w:spacing w:val="-2"/>
        </w:rPr>
        <w:t xml:space="preserve"> and Bekasi areas. The map used is sourced from tanahair.indonesia.go.id </w:t>
      </w:r>
      <w:r>
        <w:rPr>
          <w:spacing w:val="-1"/>
        </w:rPr>
        <w:t>(</w:t>
      </w:r>
      <w:hyperlink r:id="rId10" w:history="1">
        <w:r>
          <w:rPr>
            <w:rStyle w:val="Hyperlink"/>
            <w:spacing w:val="-1"/>
          </w:rPr>
          <w:t>www.tanahair.indonesia.go.id/portal-web</w:t>
        </w:r>
      </w:hyperlink>
      <w:r>
        <w:rPr>
          <w:spacing w:val="-1"/>
        </w:rPr>
        <w:t>)</w:t>
      </w:r>
      <w:r>
        <w:rPr>
          <w:b/>
          <w:spacing w:val="-1"/>
        </w:rPr>
        <w:t xml:space="preserve"> </w:t>
      </w:r>
      <w:r>
        <w:rPr>
          <w:spacing w:val="-2"/>
        </w:rPr>
        <w:t xml:space="preserve">and </w:t>
      </w:r>
      <w:r w:rsidR="0020253B">
        <w:rPr>
          <w:spacing w:val="-2"/>
        </w:rPr>
        <w:t>use</w:t>
      </w:r>
      <w:r w:rsidR="0020253B">
        <w:rPr>
          <w:spacing w:val="-2"/>
        </w:rPr>
        <w:t>d</w:t>
      </w:r>
      <w:r w:rsidR="0020253B">
        <w:rPr>
          <w:spacing w:val="-2"/>
        </w:rPr>
        <w:t xml:space="preserve"> </w:t>
      </w:r>
      <w:r>
        <w:rPr>
          <w:spacing w:val="-2"/>
        </w:rPr>
        <w:t>map data for the area of Jakarta, Bogor, Tangerang, Depok, and Bekasi (</w:t>
      </w:r>
      <w:r w:rsidR="0020253B">
        <w:rPr>
          <w:spacing w:val="-2"/>
        </w:rPr>
        <w:t>Jakarta Greater Area</w:t>
      </w:r>
      <w:r>
        <w:rPr>
          <w:spacing w:val="-2"/>
        </w:rPr>
        <w:t xml:space="preserve">). Public facilities or POIs come from OpenStreetMap </w:t>
      </w:r>
      <w:r>
        <w:rPr>
          <w:spacing w:val="-1"/>
        </w:rPr>
        <w:t>(</w:t>
      </w:r>
      <w:hyperlink r:id="rId11" w:history="1">
        <w:r>
          <w:rPr>
            <w:rStyle w:val="Hyperlink"/>
            <w:spacing w:val="-1"/>
          </w:rPr>
          <w:t>www.openstreetmap.id</w:t>
        </w:r>
      </w:hyperlink>
      <w:r>
        <w:rPr>
          <w:spacing w:val="-1"/>
        </w:rPr>
        <w:t>)</w:t>
      </w:r>
      <w:r>
        <w:rPr>
          <w:spacing w:val="-2"/>
        </w:rPr>
        <w:t xml:space="preserve"> by downloading public facilities available throughout Indonesia.</w:t>
      </w:r>
    </w:p>
    <w:p w14:paraId="2DBA7DB4" w14:textId="59663679" w:rsidR="00687CB5" w:rsidRDefault="0088594F" w:rsidP="00D23533">
      <w:pPr>
        <w:pStyle w:val="BodyText"/>
        <w:spacing w:before="6" w:line="242" w:lineRule="auto"/>
        <w:ind w:leftChars="64" w:left="141" w:right="123"/>
        <w:jc w:val="both"/>
        <w:rPr>
          <w:spacing w:val="-3"/>
        </w:rPr>
      </w:pPr>
      <w:r>
        <w:rPr>
          <w:spacing w:val="-3"/>
        </w:rPr>
        <w:t xml:space="preserve">The first stage is to download a map from tanahair.indonesia.go.id which contains maps of the areas of North Jakarta, West Jakarta, Central Jakarta, South Jakarta, East Jakarta, Depok, Bogor City, Bogor Regency, Tangerang City, South Tangerang City, Tangerang Regency, Bekasi City, and Bekasi Regency. The base map was then inputted as a vector layer into QGIS Desktop version </w:t>
      </w:r>
      <w:r>
        <w:rPr>
          <w:spacing w:val="-3"/>
        </w:rPr>
        <w:lastRenderedPageBreak/>
        <w:t xml:space="preserve">3.14.15, and the layers were merged so that it became a complete </w:t>
      </w:r>
      <w:r w:rsidR="0020253B">
        <w:rPr>
          <w:spacing w:val="-3"/>
        </w:rPr>
        <w:t>Jakarta Greater Area</w:t>
      </w:r>
      <w:r>
        <w:rPr>
          <w:spacing w:val="-3"/>
        </w:rPr>
        <w:t xml:space="preserve"> base map. The second stage is to input the geocoding result data obtained from Google Maps in the .csv file type. The input results will later be changed to the location points of the </w:t>
      </w:r>
      <w:r w:rsidR="00C53878">
        <w:rPr>
          <w:spacing w:val="-3"/>
        </w:rPr>
        <w:t>bike-</w:t>
      </w:r>
      <w:r>
        <w:rPr>
          <w:spacing w:val="-3"/>
        </w:rPr>
        <w:t xml:space="preserve">sharing facility. After getting a new layer for </w:t>
      </w:r>
      <w:r w:rsidR="00C53878">
        <w:rPr>
          <w:spacing w:val="-3"/>
        </w:rPr>
        <w:t>bike-</w:t>
      </w:r>
      <w:r>
        <w:rPr>
          <w:spacing w:val="-3"/>
        </w:rPr>
        <w:t>sharing, export the file in the form of .</w:t>
      </w:r>
      <w:proofErr w:type="spellStart"/>
      <w:r>
        <w:rPr>
          <w:spacing w:val="-3"/>
        </w:rPr>
        <w:t>shp</w:t>
      </w:r>
      <w:proofErr w:type="spellEnd"/>
      <w:r>
        <w:rPr>
          <w:spacing w:val="-3"/>
        </w:rPr>
        <w:t xml:space="preserve"> (shapefile). The creation of a new layer was also carried out on the POI location for public facilities in </w:t>
      </w:r>
      <w:r w:rsidR="0020253B">
        <w:rPr>
          <w:spacing w:val="-3"/>
        </w:rPr>
        <w:t>Jakarta Greater Area</w:t>
      </w:r>
      <w:r>
        <w:rPr>
          <w:spacing w:val="-3"/>
        </w:rPr>
        <w:t>. The result is the layers for each facility grouping that will be processed using PostgreSQL.</w:t>
      </w:r>
    </w:p>
    <w:p w14:paraId="66753350" w14:textId="77777777" w:rsidR="003A7517" w:rsidRDefault="003A7517">
      <w:pPr>
        <w:pStyle w:val="BodyText"/>
        <w:spacing w:before="6" w:line="242" w:lineRule="auto"/>
        <w:ind w:right="123" w:firstLine="307"/>
        <w:rPr>
          <w:spacing w:val="-2"/>
        </w:rPr>
      </w:pPr>
    </w:p>
    <w:p w14:paraId="393E647F" w14:textId="77777777" w:rsidR="00687CB5" w:rsidRDefault="0088594F" w:rsidP="00D23533">
      <w:pPr>
        <w:pStyle w:val="Heading1"/>
        <w:numPr>
          <w:ilvl w:val="1"/>
          <w:numId w:val="1"/>
        </w:numPr>
        <w:tabs>
          <w:tab w:val="left" w:pos="485"/>
        </w:tabs>
        <w:ind w:left="567" w:hanging="425"/>
        <w:jc w:val="both"/>
        <w:rPr>
          <w:b w:val="0"/>
          <w:bCs w:val="0"/>
        </w:rPr>
      </w:pPr>
      <w:r>
        <w:rPr>
          <w:spacing w:val="-1"/>
        </w:rPr>
        <w:t>Methods</w:t>
      </w:r>
    </w:p>
    <w:p w14:paraId="4DAD389F" w14:textId="02DAD59C" w:rsidR="00687CB5" w:rsidRDefault="0088594F" w:rsidP="00D23533">
      <w:pPr>
        <w:pStyle w:val="BodyText"/>
        <w:spacing w:line="274" w:lineRule="exact"/>
        <w:ind w:leftChars="63" w:left="139" w:right="123"/>
        <w:jc w:val="both"/>
        <w:rPr>
          <w:spacing w:val="-2"/>
        </w:rPr>
      </w:pPr>
      <w:r>
        <w:rPr>
          <w:spacing w:val="-2"/>
        </w:rPr>
        <w:t>The base</w:t>
      </w:r>
      <w:r w:rsidR="00C53878">
        <w:rPr>
          <w:spacing w:val="-2"/>
        </w:rPr>
        <w:t xml:space="preserve"> </w:t>
      </w:r>
      <w:r>
        <w:rPr>
          <w:spacing w:val="-2"/>
        </w:rPr>
        <w:t xml:space="preserve">map that was downloaded earlier was inputted as a vector layer into QGIS Desktop version 3.14.15, and the layers were merged so that it became a complete </w:t>
      </w:r>
      <w:r w:rsidR="0020253B">
        <w:rPr>
          <w:spacing w:val="-2"/>
        </w:rPr>
        <w:t>Jakarta Greater Area</w:t>
      </w:r>
      <w:r>
        <w:rPr>
          <w:spacing w:val="-2"/>
        </w:rPr>
        <w:t xml:space="preserve"> base map. In the use of QGIS software, the previous base map is edited using the tools available in QGIS, such as setting the projection system, merged, and clipped features as well as creating new layers with different CRS. In addition to the </w:t>
      </w:r>
      <w:r w:rsidR="0020253B">
        <w:rPr>
          <w:spacing w:val="-2"/>
        </w:rPr>
        <w:t>Jakarta Greater Area</w:t>
      </w:r>
      <w:r>
        <w:rPr>
          <w:spacing w:val="-2"/>
        </w:rPr>
        <w:t xml:space="preserve"> map, data in the form of geocoding of bicycle facilities and POI locations can be processed using QGIS into a new layer which will be exported as shapefiles into the PostgreSQL software.</w:t>
      </w:r>
    </w:p>
    <w:p w14:paraId="09621AF5" w14:textId="08E4D3BE" w:rsidR="00687CB5" w:rsidRDefault="0088594F" w:rsidP="00D23533">
      <w:pPr>
        <w:pStyle w:val="BodyText"/>
        <w:spacing w:line="274" w:lineRule="exact"/>
        <w:ind w:leftChars="63" w:left="139" w:right="123"/>
        <w:jc w:val="both"/>
      </w:pPr>
      <w:r>
        <w:rPr>
          <w:spacing w:val="-2"/>
        </w:rPr>
        <w:t xml:space="preserve">Furthermore, the data that has been processed by QGIS is then exported to PostgreSQL using </w:t>
      </w:r>
      <w:proofErr w:type="spellStart"/>
      <w:r>
        <w:rPr>
          <w:spacing w:val="-2"/>
        </w:rPr>
        <w:t>PostGIS</w:t>
      </w:r>
      <w:proofErr w:type="spellEnd"/>
      <w:r>
        <w:rPr>
          <w:spacing w:val="-2"/>
        </w:rPr>
        <w:t xml:space="preserve"> Shapefile Import/Export Manager, a spatial data extender used in PostgreSQL. PostgreSQL is used as a database to process and analyze interactions between bicycle facilities and other public facilities using the </w:t>
      </w:r>
      <w:proofErr w:type="spellStart"/>
      <w:r>
        <w:rPr>
          <w:spacing w:val="-2"/>
        </w:rPr>
        <w:t>ST_Distance</w:t>
      </w:r>
      <w:proofErr w:type="spellEnd"/>
      <w:r>
        <w:rPr>
          <w:spacing w:val="-2"/>
        </w:rPr>
        <w:t xml:space="preserve"> function available in PostgreSQL. The results obtained are in the form of Participation Ratio (PR) and Participation Index (PI) values ​​between 2 facilities. The value of PR and PI will later show the relationship and closeness between bicycle facilities and other public facilities.</w:t>
      </w:r>
    </w:p>
    <w:p w14:paraId="13B0F1C3" w14:textId="77777777" w:rsidR="00687CB5" w:rsidRDefault="00687CB5">
      <w:pPr>
        <w:spacing w:before="3"/>
        <w:rPr>
          <w:rFonts w:ascii="Times New Roman" w:eastAsia="Times New Roman" w:hAnsi="Times New Roman" w:cs="Times New Roman"/>
          <w:sz w:val="24"/>
          <w:szCs w:val="24"/>
        </w:rPr>
      </w:pPr>
    </w:p>
    <w:p w14:paraId="063787A1" w14:textId="77777777" w:rsidR="00687CB5" w:rsidRDefault="0088594F">
      <w:pPr>
        <w:pStyle w:val="Heading1"/>
        <w:numPr>
          <w:ilvl w:val="0"/>
          <w:numId w:val="1"/>
        </w:numPr>
        <w:tabs>
          <w:tab w:val="left" w:pos="422"/>
        </w:tabs>
        <w:jc w:val="both"/>
        <w:rPr>
          <w:b w:val="0"/>
          <w:bCs w:val="0"/>
        </w:rPr>
      </w:pPr>
      <w:r>
        <w:t>RESULTS AND DISCUSSION</w:t>
      </w:r>
    </w:p>
    <w:p w14:paraId="1B5AF166" w14:textId="77777777" w:rsidR="00687CB5" w:rsidRDefault="00687CB5">
      <w:pPr>
        <w:spacing w:before="1"/>
        <w:rPr>
          <w:rFonts w:ascii="Times New Roman" w:eastAsia="Times New Roman" w:hAnsi="Times New Roman" w:cs="Times New Roman"/>
          <w:b/>
          <w:bCs/>
          <w:sz w:val="24"/>
          <w:szCs w:val="24"/>
        </w:rPr>
      </w:pPr>
    </w:p>
    <w:p w14:paraId="0AEB9B97" w14:textId="4D9BDD9D" w:rsidR="00687CB5" w:rsidRDefault="0088594F" w:rsidP="00D23533">
      <w:pPr>
        <w:pStyle w:val="BodyText"/>
        <w:tabs>
          <w:tab w:val="left" w:pos="426"/>
          <w:tab w:val="left" w:pos="709"/>
        </w:tabs>
        <w:spacing w:before="3" w:line="274" w:lineRule="exact"/>
        <w:ind w:left="142" w:right="125"/>
        <w:jc w:val="both"/>
        <w:rPr>
          <w:rFonts w:cs="Times New Roman"/>
        </w:rPr>
      </w:pPr>
      <w:r>
        <w:rPr>
          <w:rFonts w:cs="Times New Roman"/>
        </w:rPr>
        <w:t xml:space="preserve">Before the construction of a facility, we need to analyze the other factor around the facility. For this research, bicycle facilities are closely related to public transportation. Based on the literature, </w:t>
      </w:r>
      <w:r w:rsidR="00C53878">
        <w:rPr>
          <w:rFonts w:cs="Times New Roman"/>
        </w:rPr>
        <w:t>6 major attributes</w:t>
      </w:r>
      <w:r>
        <w:rPr>
          <w:rFonts w:cs="Times New Roman"/>
        </w:rPr>
        <w:t xml:space="preserve"> are proximate in bicycle facilities. Public transportation, parks</w:t>
      </w:r>
      <w:r w:rsidR="00C53878">
        <w:rPr>
          <w:rFonts w:cs="Times New Roman"/>
        </w:rPr>
        <w:t>,</w:t>
      </w:r>
      <w:r>
        <w:rPr>
          <w:rFonts w:cs="Times New Roman"/>
        </w:rPr>
        <w:t xml:space="preserve"> and green area, educational area, commercial and office area</w:t>
      </w:r>
      <w:r w:rsidR="00C53878">
        <w:rPr>
          <w:rFonts w:cs="Times New Roman"/>
        </w:rPr>
        <w:t>s</w:t>
      </w:r>
      <w:r>
        <w:rPr>
          <w:rFonts w:cs="Times New Roman"/>
        </w:rPr>
        <w:t xml:space="preserve">, and hospital are the six factors that influence the construction of bicycle facilities </w:t>
      </w:r>
      <w:r>
        <w:rPr>
          <w:rFonts w:cs="Times New Roman"/>
        </w:rPr>
        <w:fldChar w:fldCharType="begin" w:fldLock="1"/>
      </w:r>
      <w:r>
        <w:rPr>
          <w:rFonts w:cs="Times New Roman"/>
        </w:rPr>
        <w:instrText>ADDIN CSL_CITATION {"citationItems":[{"id":"ITEM-1","itemData":{"DOI":"10.1016/j.trc.2019.04.006","ISSN":"0968090X","abstract":"Public bike-sharing has gained much attention with the tide of sharing economy. Empowered by modern technologies (e.g., GPS devices and smartphone-based APPs), a new generation of free-floating bike-sharing systems has recently become popular. Usage data generated by such systems produce rich information. This study presents a model framework to explore the spatio-temporal usage patterns of free-floating shared bikes using the usage data. The framework includes modules of probability fitting, Random Forest, a cluster-based time-domain analysis, and a visualization toolset. A case study is discussed based on the usage data from Mobike, one of the largest operating bike-sharing systems in Shanghai (China). The daily usage dynamics is modeled using log-normal distributions. Random Forest is adopted to explore the impact of factors on the usage frequency in different districts. It is found that residential area, park &amp; green area, and population size are the top three factors influencing the frequency. Particularly, usage near metro stations is delved using the hierarchical clustering method, resulting in three typical usage modes. Visualization analysis is demonstrated to understand the time-varying flow patterns and the spatial distribution of shared bikes. This study improves our understanding of the usage patterns of this emerging transport mode and provides insights for the promotion and dynamic deployment of the bike-sharing system in urban areas.","author":[{"dropping-particle":"","family":"Du","given":"Yuchuan","non-dropping-particle":"","parse-names":false,"suffix":""},{"dropping-particle":"","family":"Deng","given":"Fuwen","non-dropping-particle":"","parse-names":false,"suffix":""},{"dropping-particle":"","family":"Liao","given":"Feixiong","non-dropping-particle":"","parse-names":false,"suffix":""}],"container-title":"Transportation Research Part C: Emerging Technologies","id":"ITEM-1","issue":"April","issued":{"date-parts":[["2019"]]},"page":"39-55","publisher":"Elsevier","title":"A model framework for discovering the spatio-temporal usage patterns of public free-floating bike-sharing system","type":"article-journal","volume":"103"},"uris":["http://www.mendeley.com/documents/?uuid=7f437843-9126-4954-a6a1-a21b038d1b0c"]}],"mendeley":{"formattedCitation":"(Du et al., 2019)","plainTextFormattedCitation":"(Du et al., 2019)","previouslyFormattedCitation":"(Du et al., 2019)"},"properties":{"noteIndex":0},"schema":"https://github.com/citation-style-language/schema/raw/master/csl-citation.json"}</w:instrText>
      </w:r>
      <w:r>
        <w:rPr>
          <w:rFonts w:cs="Times New Roman"/>
        </w:rPr>
        <w:fldChar w:fldCharType="separate"/>
      </w:r>
      <w:r>
        <w:rPr>
          <w:rFonts w:cs="Times New Roman"/>
        </w:rPr>
        <w:t>(Du et al., 2019)</w:t>
      </w:r>
      <w:r>
        <w:rPr>
          <w:rFonts w:cs="Times New Roman"/>
        </w:rPr>
        <w:fldChar w:fldCharType="end"/>
      </w:r>
      <w:r>
        <w:rPr>
          <w:rFonts w:cs="Times New Roman"/>
        </w:rPr>
        <w:t>. In each major attribute, there are minor attributes that have been divided in</w:t>
      </w:r>
      <w:r w:rsidR="00C53878">
        <w:rPr>
          <w:rFonts w:cs="Times New Roman"/>
        </w:rPr>
        <w:t>to</w:t>
      </w:r>
      <w:r>
        <w:rPr>
          <w:rFonts w:cs="Times New Roman"/>
        </w:rPr>
        <w:t xml:space="preserve"> </w:t>
      </w:r>
      <w:r>
        <w:rPr>
          <w:rFonts w:cs="Times New Roman"/>
          <w:b/>
        </w:rPr>
        <w:t>Table 1</w:t>
      </w:r>
      <w:r>
        <w:rPr>
          <w:rFonts w:cs="Times New Roman"/>
        </w:rPr>
        <w:t>.</w:t>
      </w:r>
    </w:p>
    <w:p w14:paraId="0BBCB8EA" w14:textId="77777777" w:rsidR="00687CB5" w:rsidRDefault="00687CB5">
      <w:pPr>
        <w:jc w:val="center"/>
        <w:rPr>
          <w:rFonts w:ascii="Times New Roman" w:hAnsi="Times New Roman" w:cs="Times New Roman"/>
          <w:sz w:val="20"/>
          <w:szCs w:val="24"/>
        </w:rPr>
      </w:pPr>
    </w:p>
    <w:p w14:paraId="620EA04E" w14:textId="77777777" w:rsidR="00687CB5" w:rsidRDefault="0088594F">
      <w:pPr>
        <w:jc w:val="center"/>
        <w:rPr>
          <w:rFonts w:ascii="Times New Roman" w:hAnsi="Times New Roman" w:cs="Times New Roman"/>
          <w:sz w:val="20"/>
          <w:szCs w:val="24"/>
        </w:rPr>
      </w:pPr>
      <w:r w:rsidRPr="001A49B5">
        <w:rPr>
          <w:rFonts w:ascii="Times New Roman" w:hAnsi="Times New Roman" w:cs="Times New Roman"/>
          <w:sz w:val="20"/>
          <w:szCs w:val="24"/>
        </w:rPr>
        <w:t>Tabl</w:t>
      </w:r>
      <w:r w:rsidR="002C0333" w:rsidRPr="001A49B5">
        <w:rPr>
          <w:rFonts w:ascii="Times New Roman" w:hAnsi="Times New Roman" w:cs="Times New Roman"/>
          <w:sz w:val="20"/>
          <w:szCs w:val="24"/>
        </w:rPr>
        <w:t>e</w:t>
      </w:r>
      <w:r w:rsidRPr="001A49B5">
        <w:rPr>
          <w:rFonts w:ascii="Times New Roman" w:hAnsi="Times New Roman" w:cs="Times New Roman"/>
          <w:sz w:val="20"/>
          <w:szCs w:val="24"/>
        </w:rPr>
        <w:t xml:space="preserve"> 1.</w:t>
      </w:r>
      <w:r>
        <w:rPr>
          <w:rFonts w:ascii="Times New Roman" w:hAnsi="Times New Roman" w:cs="Times New Roman"/>
          <w:sz w:val="20"/>
          <w:szCs w:val="24"/>
        </w:rPr>
        <w:t xml:space="preserve"> Data for Major Attribute and Minor Attribute Related to Bike Share Facility</w:t>
      </w:r>
    </w:p>
    <w:tbl>
      <w:tblPr>
        <w:tblStyle w:val="TableGrid"/>
        <w:tblW w:w="8615" w:type="dxa"/>
        <w:jc w:val="center"/>
        <w:tblLayout w:type="fixed"/>
        <w:tblLook w:val="04A0" w:firstRow="1" w:lastRow="0" w:firstColumn="1" w:lastColumn="0" w:noHBand="0" w:noVBand="1"/>
      </w:tblPr>
      <w:tblGrid>
        <w:gridCol w:w="2102"/>
        <w:gridCol w:w="2235"/>
        <w:gridCol w:w="2055"/>
        <w:gridCol w:w="2223"/>
      </w:tblGrid>
      <w:tr w:rsidR="00687CB5" w14:paraId="24753808" w14:textId="77777777">
        <w:trPr>
          <w:jc w:val="center"/>
        </w:trPr>
        <w:tc>
          <w:tcPr>
            <w:tcW w:w="2102" w:type="dxa"/>
            <w:tcBorders>
              <w:bottom w:val="single" w:sz="4" w:space="0" w:color="auto"/>
            </w:tcBorders>
          </w:tcPr>
          <w:p w14:paraId="6628AC1F" w14:textId="77777777" w:rsidR="00687CB5" w:rsidRDefault="0088594F">
            <w:pPr>
              <w:rPr>
                <w:b/>
                <w:bCs/>
                <w:sz w:val="24"/>
                <w:szCs w:val="24"/>
                <w:lang w:eastAsia="zh-CN"/>
              </w:rPr>
            </w:pPr>
            <w:r>
              <w:rPr>
                <w:b/>
                <w:bCs/>
                <w:sz w:val="24"/>
                <w:szCs w:val="24"/>
                <w:lang w:eastAsia="zh-CN"/>
              </w:rPr>
              <w:t>Major Attribute</w:t>
            </w:r>
          </w:p>
        </w:tc>
        <w:tc>
          <w:tcPr>
            <w:tcW w:w="2235" w:type="dxa"/>
            <w:tcBorders>
              <w:bottom w:val="single" w:sz="4" w:space="0" w:color="auto"/>
            </w:tcBorders>
          </w:tcPr>
          <w:p w14:paraId="41600EA8" w14:textId="77777777" w:rsidR="00687CB5" w:rsidRDefault="0088594F">
            <w:pPr>
              <w:rPr>
                <w:b/>
                <w:bCs/>
                <w:sz w:val="24"/>
                <w:szCs w:val="24"/>
                <w:lang w:eastAsia="zh-CN"/>
              </w:rPr>
            </w:pPr>
            <w:r>
              <w:rPr>
                <w:b/>
                <w:bCs/>
                <w:sz w:val="24"/>
                <w:szCs w:val="24"/>
                <w:lang w:eastAsia="zh-CN"/>
              </w:rPr>
              <w:t>Minor Attribute</w:t>
            </w:r>
          </w:p>
        </w:tc>
        <w:tc>
          <w:tcPr>
            <w:tcW w:w="2055" w:type="dxa"/>
            <w:tcBorders>
              <w:bottom w:val="single" w:sz="4" w:space="0" w:color="auto"/>
            </w:tcBorders>
          </w:tcPr>
          <w:p w14:paraId="1D1F245E" w14:textId="77777777" w:rsidR="00687CB5" w:rsidRDefault="0088594F">
            <w:pPr>
              <w:rPr>
                <w:b/>
                <w:bCs/>
                <w:sz w:val="24"/>
                <w:szCs w:val="24"/>
                <w:lang w:eastAsia="zh-CN"/>
              </w:rPr>
            </w:pPr>
            <w:r>
              <w:rPr>
                <w:b/>
                <w:bCs/>
                <w:sz w:val="24"/>
                <w:szCs w:val="24"/>
                <w:lang w:eastAsia="zh-CN"/>
              </w:rPr>
              <w:t>Major Attribute</w:t>
            </w:r>
          </w:p>
        </w:tc>
        <w:tc>
          <w:tcPr>
            <w:tcW w:w="2223" w:type="dxa"/>
            <w:tcBorders>
              <w:bottom w:val="single" w:sz="4" w:space="0" w:color="auto"/>
            </w:tcBorders>
          </w:tcPr>
          <w:p w14:paraId="4EC2DBC0" w14:textId="77777777" w:rsidR="00687CB5" w:rsidRDefault="0088594F">
            <w:pPr>
              <w:rPr>
                <w:b/>
                <w:bCs/>
                <w:sz w:val="24"/>
                <w:szCs w:val="24"/>
                <w:lang w:eastAsia="zh-CN"/>
              </w:rPr>
            </w:pPr>
            <w:r>
              <w:rPr>
                <w:b/>
                <w:bCs/>
                <w:sz w:val="24"/>
                <w:szCs w:val="24"/>
                <w:lang w:eastAsia="zh-CN"/>
              </w:rPr>
              <w:t>Minor Attribute</w:t>
            </w:r>
          </w:p>
        </w:tc>
      </w:tr>
      <w:tr w:rsidR="00687CB5" w:rsidRPr="00C05E69" w14:paraId="500BA8C0" w14:textId="77777777">
        <w:trPr>
          <w:trHeight w:val="208"/>
          <w:jc w:val="center"/>
        </w:trPr>
        <w:tc>
          <w:tcPr>
            <w:tcW w:w="2102" w:type="dxa"/>
            <w:vMerge w:val="restart"/>
            <w:tcBorders>
              <w:top w:val="single" w:sz="4" w:space="0" w:color="auto"/>
              <w:left w:val="single" w:sz="4" w:space="0" w:color="auto"/>
              <w:bottom w:val="nil"/>
              <w:right w:val="single" w:sz="4" w:space="0" w:color="auto"/>
            </w:tcBorders>
            <w:vAlign w:val="center"/>
          </w:tcPr>
          <w:p w14:paraId="3FF3583C" w14:textId="77777777" w:rsidR="00687CB5" w:rsidRPr="00C05E69" w:rsidRDefault="0088594F">
            <w:pPr>
              <w:widowControl/>
              <w:textAlignment w:val="center"/>
              <w:rPr>
                <w:lang w:eastAsia="zh-CN"/>
              </w:rPr>
            </w:pPr>
            <w:r w:rsidRPr="00C05E69">
              <w:rPr>
                <w:color w:val="000000"/>
                <w:lang w:eastAsia="zh-CN" w:bidi="ar"/>
              </w:rPr>
              <w:t xml:space="preserve">Parks </w:t>
            </w:r>
            <w:proofErr w:type="gramStart"/>
            <w:r w:rsidRPr="00C05E69">
              <w:rPr>
                <w:color w:val="000000"/>
                <w:lang w:eastAsia="zh-CN" w:bidi="ar"/>
              </w:rPr>
              <w:t>And</w:t>
            </w:r>
            <w:proofErr w:type="gramEnd"/>
            <w:r w:rsidRPr="00C05E69">
              <w:rPr>
                <w:color w:val="000000"/>
                <w:lang w:eastAsia="zh-CN" w:bidi="ar"/>
              </w:rPr>
              <w:t xml:space="preserve"> Green Area</w:t>
            </w:r>
          </w:p>
        </w:tc>
        <w:tc>
          <w:tcPr>
            <w:tcW w:w="2235" w:type="dxa"/>
            <w:tcBorders>
              <w:top w:val="single" w:sz="4" w:space="0" w:color="auto"/>
              <w:left w:val="single" w:sz="4" w:space="0" w:color="auto"/>
              <w:bottom w:val="single" w:sz="4" w:space="0" w:color="auto"/>
              <w:right w:val="single" w:sz="4" w:space="0" w:color="auto"/>
            </w:tcBorders>
            <w:vAlign w:val="center"/>
          </w:tcPr>
          <w:p w14:paraId="758CBAA7" w14:textId="77777777" w:rsidR="00687CB5" w:rsidRPr="00C05E69" w:rsidRDefault="0088594F">
            <w:pPr>
              <w:widowControl/>
              <w:textAlignment w:val="center"/>
              <w:rPr>
                <w:lang w:eastAsia="zh-CN"/>
              </w:rPr>
            </w:pPr>
            <w:r w:rsidRPr="00C05E69">
              <w:rPr>
                <w:color w:val="000000"/>
                <w:lang w:eastAsia="zh-CN" w:bidi="ar"/>
              </w:rPr>
              <w:t>Park</w:t>
            </w:r>
          </w:p>
        </w:tc>
        <w:tc>
          <w:tcPr>
            <w:tcW w:w="2055" w:type="dxa"/>
            <w:vMerge w:val="restart"/>
            <w:tcBorders>
              <w:top w:val="single" w:sz="4" w:space="0" w:color="auto"/>
              <w:left w:val="single" w:sz="4" w:space="0" w:color="auto"/>
              <w:right w:val="single" w:sz="4" w:space="0" w:color="auto"/>
            </w:tcBorders>
            <w:vAlign w:val="center"/>
          </w:tcPr>
          <w:p w14:paraId="32E19619" w14:textId="77777777" w:rsidR="00687CB5" w:rsidRPr="00C05E69" w:rsidRDefault="0088594F">
            <w:pPr>
              <w:jc w:val="left"/>
              <w:textAlignment w:val="center"/>
              <w:rPr>
                <w:color w:val="000000"/>
                <w:lang w:eastAsia="zh-CN" w:bidi="ar"/>
              </w:rPr>
            </w:pPr>
            <w:r w:rsidRPr="00C05E69">
              <w:rPr>
                <w:color w:val="000000"/>
                <w:lang w:eastAsia="zh-CN" w:bidi="ar"/>
              </w:rPr>
              <w:t>Public Transportation</w:t>
            </w:r>
          </w:p>
        </w:tc>
        <w:tc>
          <w:tcPr>
            <w:tcW w:w="2223" w:type="dxa"/>
            <w:tcBorders>
              <w:top w:val="single" w:sz="4" w:space="0" w:color="auto"/>
              <w:left w:val="single" w:sz="4" w:space="0" w:color="auto"/>
              <w:bottom w:val="single" w:sz="4" w:space="0" w:color="auto"/>
              <w:right w:val="single" w:sz="4" w:space="0" w:color="auto"/>
            </w:tcBorders>
            <w:vAlign w:val="center"/>
          </w:tcPr>
          <w:p w14:paraId="1348199F" w14:textId="77777777" w:rsidR="00687CB5" w:rsidRPr="00C05E69" w:rsidRDefault="0088594F">
            <w:pPr>
              <w:widowControl/>
              <w:textAlignment w:val="center"/>
              <w:rPr>
                <w:lang w:eastAsia="zh-CN"/>
              </w:rPr>
            </w:pPr>
            <w:r w:rsidRPr="00C05E69">
              <w:rPr>
                <w:color w:val="000000"/>
                <w:lang w:eastAsia="zh-CN" w:bidi="ar"/>
              </w:rPr>
              <w:t>Bike Sharing Station</w:t>
            </w:r>
          </w:p>
        </w:tc>
      </w:tr>
      <w:tr w:rsidR="00687CB5" w:rsidRPr="00C05E69" w14:paraId="6806EAB9" w14:textId="77777777">
        <w:trPr>
          <w:jc w:val="center"/>
        </w:trPr>
        <w:tc>
          <w:tcPr>
            <w:tcW w:w="2102" w:type="dxa"/>
            <w:vMerge/>
            <w:tcBorders>
              <w:top w:val="nil"/>
              <w:left w:val="single" w:sz="4" w:space="0" w:color="auto"/>
              <w:bottom w:val="nil"/>
              <w:right w:val="single" w:sz="4" w:space="0" w:color="auto"/>
            </w:tcBorders>
            <w:vAlign w:val="center"/>
          </w:tcPr>
          <w:p w14:paraId="6A55AC3B" w14:textId="77777777" w:rsidR="00687CB5" w:rsidRPr="00C05E69" w:rsidRDefault="00687CB5">
            <w:pPr>
              <w:rPr>
                <w:lang w:eastAsia="zh-CN"/>
              </w:rPr>
            </w:pPr>
          </w:p>
        </w:tc>
        <w:tc>
          <w:tcPr>
            <w:tcW w:w="2235" w:type="dxa"/>
            <w:tcBorders>
              <w:top w:val="single" w:sz="4" w:space="0" w:color="auto"/>
              <w:left w:val="single" w:sz="4" w:space="0" w:color="auto"/>
              <w:bottom w:val="single" w:sz="4" w:space="0" w:color="auto"/>
              <w:right w:val="single" w:sz="4" w:space="0" w:color="auto"/>
            </w:tcBorders>
            <w:vAlign w:val="center"/>
          </w:tcPr>
          <w:p w14:paraId="73BD5582" w14:textId="77777777" w:rsidR="00687CB5" w:rsidRPr="00C05E69" w:rsidRDefault="0088594F">
            <w:pPr>
              <w:widowControl/>
              <w:textAlignment w:val="center"/>
              <w:rPr>
                <w:lang w:eastAsia="zh-CN"/>
              </w:rPr>
            </w:pPr>
            <w:r w:rsidRPr="00C05E69">
              <w:rPr>
                <w:color w:val="000000"/>
                <w:lang w:eastAsia="zh-CN" w:bidi="ar"/>
              </w:rPr>
              <w:t>Picnic Site</w:t>
            </w:r>
          </w:p>
        </w:tc>
        <w:tc>
          <w:tcPr>
            <w:tcW w:w="2055" w:type="dxa"/>
            <w:vMerge/>
            <w:tcBorders>
              <w:left w:val="single" w:sz="4" w:space="0" w:color="auto"/>
              <w:right w:val="single" w:sz="4" w:space="0" w:color="auto"/>
            </w:tcBorders>
          </w:tcPr>
          <w:p w14:paraId="418642A7" w14:textId="77777777" w:rsidR="00687CB5" w:rsidRPr="00C05E69" w:rsidRDefault="00687CB5">
            <w:pPr>
              <w:textAlignment w:val="center"/>
              <w:rPr>
                <w:color w:val="000000"/>
                <w:lang w:eastAsia="zh-CN" w:bidi="ar"/>
              </w:rPr>
            </w:pPr>
          </w:p>
        </w:tc>
        <w:tc>
          <w:tcPr>
            <w:tcW w:w="2223" w:type="dxa"/>
            <w:tcBorders>
              <w:top w:val="single" w:sz="4" w:space="0" w:color="auto"/>
              <w:left w:val="single" w:sz="4" w:space="0" w:color="auto"/>
              <w:bottom w:val="single" w:sz="4" w:space="0" w:color="auto"/>
              <w:right w:val="single" w:sz="4" w:space="0" w:color="auto"/>
            </w:tcBorders>
            <w:vAlign w:val="center"/>
          </w:tcPr>
          <w:p w14:paraId="56B7E632" w14:textId="77777777" w:rsidR="00687CB5" w:rsidRPr="00C05E69" w:rsidRDefault="0088594F">
            <w:pPr>
              <w:widowControl/>
              <w:textAlignment w:val="center"/>
              <w:rPr>
                <w:lang w:eastAsia="zh-CN"/>
              </w:rPr>
            </w:pPr>
            <w:r w:rsidRPr="00C05E69">
              <w:rPr>
                <w:color w:val="000000"/>
                <w:lang w:eastAsia="zh-CN" w:bidi="ar"/>
              </w:rPr>
              <w:t>Bicycle Rental</w:t>
            </w:r>
          </w:p>
        </w:tc>
      </w:tr>
      <w:tr w:rsidR="00687CB5" w:rsidRPr="00C05E69" w14:paraId="2380170A" w14:textId="77777777">
        <w:trPr>
          <w:jc w:val="center"/>
        </w:trPr>
        <w:tc>
          <w:tcPr>
            <w:tcW w:w="2102" w:type="dxa"/>
            <w:vMerge/>
            <w:tcBorders>
              <w:top w:val="nil"/>
              <w:left w:val="single" w:sz="4" w:space="0" w:color="auto"/>
              <w:bottom w:val="nil"/>
              <w:right w:val="single" w:sz="4" w:space="0" w:color="auto"/>
            </w:tcBorders>
            <w:vAlign w:val="center"/>
          </w:tcPr>
          <w:p w14:paraId="6C679DE3" w14:textId="77777777" w:rsidR="00687CB5" w:rsidRPr="00C05E69" w:rsidRDefault="00687CB5">
            <w:pPr>
              <w:rPr>
                <w:lang w:eastAsia="zh-CN"/>
              </w:rPr>
            </w:pPr>
          </w:p>
        </w:tc>
        <w:tc>
          <w:tcPr>
            <w:tcW w:w="2235" w:type="dxa"/>
            <w:tcBorders>
              <w:top w:val="single" w:sz="4" w:space="0" w:color="auto"/>
              <w:left w:val="single" w:sz="4" w:space="0" w:color="auto"/>
              <w:bottom w:val="single" w:sz="4" w:space="0" w:color="auto"/>
              <w:right w:val="single" w:sz="4" w:space="0" w:color="auto"/>
            </w:tcBorders>
            <w:vAlign w:val="center"/>
          </w:tcPr>
          <w:p w14:paraId="5E20EFC5" w14:textId="77777777" w:rsidR="00687CB5" w:rsidRPr="00C05E69" w:rsidRDefault="0088594F">
            <w:pPr>
              <w:widowControl/>
              <w:textAlignment w:val="center"/>
              <w:rPr>
                <w:lang w:eastAsia="zh-CN"/>
              </w:rPr>
            </w:pPr>
            <w:r w:rsidRPr="00C05E69">
              <w:rPr>
                <w:color w:val="000000"/>
                <w:lang w:eastAsia="zh-CN" w:bidi="ar"/>
              </w:rPr>
              <w:t>Theme Park</w:t>
            </w:r>
          </w:p>
        </w:tc>
        <w:tc>
          <w:tcPr>
            <w:tcW w:w="2055" w:type="dxa"/>
            <w:vMerge/>
            <w:tcBorders>
              <w:left w:val="single" w:sz="4" w:space="0" w:color="auto"/>
              <w:right w:val="single" w:sz="4" w:space="0" w:color="auto"/>
            </w:tcBorders>
          </w:tcPr>
          <w:p w14:paraId="309B3E65" w14:textId="77777777" w:rsidR="00687CB5" w:rsidRPr="00C05E69" w:rsidRDefault="00687CB5">
            <w:pPr>
              <w:textAlignment w:val="center"/>
              <w:rPr>
                <w:color w:val="000000"/>
                <w:lang w:eastAsia="zh-CN" w:bidi="ar"/>
              </w:rPr>
            </w:pPr>
          </w:p>
        </w:tc>
        <w:tc>
          <w:tcPr>
            <w:tcW w:w="2223" w:type="dxa"/>
            <w:tcBorders>
              <w:top w:val="single" w:sz="4" w:space="0" w:color="auto"/>
              <w:left w:val="single" w:sz="4" w:space="0" w:color="auto"/>
              <w:bottom w:val="single" w:sz="4" w:space="0" w:color="auto"/>
              <w:right w:val="single" w:sz="4" w:space="0" w:color="auto"/>
            </w:tcBorders>
            <w:vAlign w:val="center"/>
          </w:tcPr>
          <w:p w14:paraId="4EB57CC3" w14:textId="77777777" w:rsidR="00687CB5" w:rsidRPr="00C05E69" w:rsidRDefault="0088594F">
            <w:pPr>
              <w:widowControl/>
              <w:textAlignment w:val="center"/>
              <w:rPr>
                <w:lang w:eastAsia="zh-CN"/>
              </w:rPr>
            </w:pPr>
            <w:r w:rsidRPr="00C05E69">
              <w:rPr>
                <w:color w:val="000000"/>
                <w:lang w:eastAsia="zh-CN" w:bidi="ar"/>
              </w:rPr>
              <w:t>Bus Station</w:t>
            </w:r>
          </w:p>
        </w:tc>
      </w:tr>
      <w:tr w:rsidR="00687CB5" w:rsidRPr="00C05E69" w14:paraId="01057BA3" w14:textId="77777777">
        <w:trPr>
          <w:jc w:val="center"/>
        </w:trPr>
        <w:tc>
          <w:tcPr>
            <w:tcW w:w="2102" w:type="dxa"/>
            <w:vMerge/>
            <w:tcBorders>
              <w:top w:val="nil"/>
              <w:left w:val="single" w:sz="4" w:space="0" w:color="auto"/>
              <w:bottom w:val="single" w:sz="4" w:space="0" w:color="auto"/>
              <w:right w:val="single" w:sz="4" w:space="0" w:color="auto"/>
            </w:tcBorders>
            <w:vAlign w:val="center"/>
          </w:tcPr>
          <w:p w14:paraId="04009814" w14:textId="77777777" w:rsidR="00687CB5" w:rsidRPr="00C05E69" w:rsidRDefault="00687CB5">
            <w:pPr>
              <w:rPr>
                <w:lang w:eastAsia="zh-CN"/>
              </w:rPr>
            </w:pPr>
          </w:p>
        </w:tc>
        <w:tc>
          <w:tcPr>
            <w:tcW w:w="2235" w:type="dxa"/>
            <w:tcBorders>
              <w:top w:val="single" w:sz="4" w:space="0" w:color="auto"/>
              <w:left w:val="single" w:sz="4" w:space="0" w:color="auto"/>
              <w:bottom w:val="single" w:sz="4" w:space="0" w:color="auto"/>
              <w:right w:val="single" w:sz="4" w:space="0" w:color="auto"/>
            </w:tcBorders>
            <w:vAlign w:val="center"/>
          </w:tcPr>
          <w:p w14:paraId="25D6E8A5" w14:textId="77777777" w:rsidR="00687CB5" w:rsidRPr="00C05E69" w:rsidRDefault="0088594F">
            <w:pPr>
              <w:widowControl/>
              <w:textAlignment w:val="center"/>
              <w:rPr>
                <w:lang w:eastAsia="zh-CN"/>
              </w:rPr>
            </w:pPr>
            <w:r w:rsidRPr="00C05E69">
              <w:rPr>
                <w:color w:val="000000"/>
                <w:lang w:eastAsia="zh-CN" w:bidi="ar"/>
              </w:rPr>
              <w:t>Stadium</w:t>
            </w:r>
          </w:p>
        </w:tc>
        <w:tc>
          <w:tcPr>
            <w:tcW w:w="2055" w:type="dxa"/>
            <w:vMerge/>
            <w:tcBorders>
              <w:left w:val="single" w:sz="4" w:space="0" w:color="auto"/>
              <w:right w:val="single" w:sz="4" w:space="0" w:color="auto"/>
            </w:tcBorders>
          </w:tcPr>
          <w:p w14:paraId="40A7D051" w14:textId="77777777" w:rsidR="00687CB5" w:rsidRPr="00C05E69" w:rsidRDefault="00687CB5">
            <w:pPr>
              <w:textAlignment w:val="center"/>
              <w:rPr>
                <w:color w:val="000000"/>
                <w:lang w:eastAsia="zh-CN" w:bidi="ar"/>
              </w:rPr>
            </w:pPr>
          </w:p>
        </w:tc>
        <w:tc>
          <w:tcPr>
            <w:tcW w:w="2223" w:type="dxa"/>
            <w:tcBorders>
              <w:top w:val="single" w:sz="4" w:space="0" w:color="auto"/>
              <w:left w:val="single" w:sz="4" w:space="0" w:color="auto"/>
              <w:bottom w:val="single" w:sz="4" w:space="0" w:color="auto"/>
              <w:right w:val="single" w:sz="4" w:space="0" w:color="auto"/>
            </w:tcBorders>
            <w:vAlign w:val="center"/>
          </w:tcPr>
          <w:p w14:paraId="00EF8D1E" w14:textId="77777777" w:rsidR="00687CB5" w:rsidRPr="00C05E69" w:rsidRDefault="0088594F">
            <w:pPr>
              <w:widowControl/>
              <w:textAlignment w:val="center"/>
              <w:rPr>
                <w:lang w:eastAsia="zh-CN"/>
              </w:rPr>
            </w:pPr>
            <w:r w:rsidRPr="00C05E69">
              <w:rPr>
                <w:color w:val="000000"/>
                <w:lang w:eastAsia="zh-CN" w:bidi="ar"/>
              </w:rPr>
              <w:t>Bus Stop</w:t>
            </w:r>
          </w:p>
        </w:tc>
      </w:tr>
      <w:tr w:rsidR="00687CB5" w:rsidRPr="00C05E69" w14:paraId="371DE337" w14:textId="77777777">
        <w:trPr>
          <w:jc w:val="center"/>
        </w:trPr>
        <w:tc>
          <w:tcPr>
            <w:tcW w:w="2102" w:type="dxa"/>
            <w:vMerge w:val="restart"/>
            <w:tcBorders>
              <w:top w:val="single" w:sz="4" w:space="0" w:color="auto"/>
              <w:left w:val="single" w:sz="4" w:space="0" w:color="auto"/>
              <w:bottom w:val="nil"/>
              <w:right w:val="single" w:sz="4" w:space="0" w:color="auto"/>
            </w:tcBorders>
            <w:vAlign w:val="center"/>
          </w:tcPr>
          <w:p w14:paraId="4A64D77C" w14:textId="77777777" w:rsidR="00687CB5" w:rsidRPr="00C05E69" w:rsidRDefault="0088594F">
            <w:pPr>
              <w:widowControl/>
              <w:textAlignment w:val="center"/>
              <w:rPr>
                <w:lang w:eastAsia="zh-CN"/>
              </w:rPr>
            </w:pPr>
            <w:r w:rsidRPr="00C05E69">
              <w:rPr>
                <w:color w:val="000000"/>
                <w:lang w:eastAsia="zh-CN" w:bidi="ar"/>
              </w:rPr>
              <w:t>Residential Area</w:t>
            </w:r>
          </w:p>
        </w:tc>
        <w:tc>
          <w:tcPr>
            <w:tcW w:w="2235" w:type="dxa"/>
            <w:tcBorders>
              <w:top w:val="single" w:sz="4" w:space="0" w:color="auto"/>
              <w:left w:val="single" w:sz="4" w:space="0" w:color="auto"/>
              <w:bottom w:val="single" w:sz="4" w:space="0" w:color="auto"/>
              <w:right w:val="single" w:sz="4" w:space="0" w:color="auto"/>
            </w:tcBorders>
            <w:vAlign w:val="center"/>
          </w:tcPr>
          <w:p w14:paraId="19AB8906" w14:textId="77777777" w:rsidR="00687CB5" w:rsidRPr="00C05E69" w:rsidRDefault="0088594F">
            <w:pPr>
              <w:widowControl/>
              <w:textAlignment w:val="center"/>
              <w:rPr>
                <w:lang w:eastAsia="zh-CN"/>
              </w:rPr>
            </w:pPr>
            <w:r w:rsidRPr="00C05E69">
              <w:rPr>
                <w:color w:val="000000"/>
                <w:lang w:eastAsia="zh-CN" w:bidi="ar"/>
              </w:rPr>
              <w:t>Hotel</w:t>
            </w:r>
          </w:p>
        </w:tc>
        <w:tc>
          <w:tcPr>
            <w:tcW w:w="2055" w:type="dxa"/>
            <w:vMerge/>
            <w:tcBorders>
              <w:left w:val="single" w:sz="4" w:space="0" w:color="auto"/>
              <w:right w:val="single" w:sz="4" w:space="0" w:color="auto"/>
            </w:tcBorders>
          </w:tcPr>
          <w:p w14:paraId="64B475A8" w14:textId="77777777" w:rsidR="00687CB5" w:rsidRPr="00C05E69" w:rsidRDefault="00687CB5">
            <w:pPr>
              <w:textAlignment w:val="center"/>
              <w:rPr>
                <w:color w:val="000000"/>
                <w:lang w:eastAsia="zh-CN" w:bidi="ar"/>
              </w:rPr>
            </w:pPr>
          </w:p>
        </w:tc>
        <w:tc>
          <w:tcPr>
            <w:tcW w:w="2223" w:type="dxa"/>
            <w:tcBorders>
              <w:top w:val="single" w:sz="4" w:space="0" w:color="auto"/>
              <w:left w:val="single" w:sz="4" w:space="0" w:color="auto"/>
              <w:bottom w:val="single" w:sz="4" w:space="0" w:color="auto"/>
              <w:right w:val="single" w:sz="4" w:space="0" w:color="auto"/>
            </w:tcBorders>
            <w:vAlign w:val="center"/>
          </w:tcPr>
          <w:p w14:paraId="7A129CFF" w14:textId="77777777" w:rsidR="00687CB5" w:rsidRPr="00C05E69" w:rsidRDefault="0088594F">
            <w:pPr>
              <w:widowControl/>
              <w:textAlignment w:val="center"/>
              <w:rPr>
                <w:lang w:eastAsia="zh-CN"/>
              </w:rPr>
            </w:pPr>
            <w:r w:rsidRPr="00C05E69">
              <w:rPr>
                <w:color w:val="000000"/>
                <w:lang w:eastAsia="zh-CN" w:bidi="ar"/>
              </w:rPr>
              <w:t>Car Rental</w:t>
            </w:r>
          </w:p>
        </w:tc>
      </w:tr>
      <w:tr w:rsidR="00687CB5" w:rsidRPr="00C05E69" w14:paraId="05BE2895" w14:textId="77777777">
        <w:trPr>
          <w:jc w:val="center"/>
        </w:trPr>
        <w:tc>
          <w:tcPr>
            <w:tcW w:w="2102" w:type="dxa"/>
            <w:vMerge/>
            <w:tcBorders>
              <w:top w:val="nil"/>
              <w:left w:val="single" w:sz="4" w:space="0" w:color="auto"/>
              <w:bottom w:val="nil"/>
              <w:right w:val="single" w:sz="4" w:space="0" w:color="auto"/>
            </w:tcBorders>
            <w:vAlign w:val="center"/>
          </w:tcPr>
          <w:p w14:paraId="10A28322" w14:textId="77777777" w:rsidR="00687CB5" w:rsidRPr="00C05E69" w:rsidRDefault="00687CB5">
            <w:pPr>
              <w:rPr>
                <w:lang w:eastAsia="zh-CN"/>
              </w:rPr>
            </w:pPr>
          </w:p>
        </w:tc>
        <w:tc>
          <w:tcPr>
            <w:tcW w:w="2235" w:type="dxa"/>
            <w:tcBorders>
              <w:top w:val="single" w:sz="4" w:space="0" w:color="auto"/>
              <w:left w:val="single" w:sz="4" w:space="0" w:color="auto"/>
              <w:bottom w:val="single" w:sz="4" w:space="0" w:color="auto"/>
              <w:right w:val="single" w:sz="4" w:space="0" w:color="auto"/>
            </w:tcBorders>
            <w:vAlign w:val="center"/>
          </w:tcPr>
          <w:p w14:paraId="458D7423" w14:textId="77777777" w:rsidR="00687CB5" w:rsidRPr="00C05E69" w:rsidRDefault="0088594F">
            <w:pPr>
              <w:widowControl/>
              <w:textAlignment w:val="center"/>
              <w:rPr>
                <w:lang w:eastAsia="zh-CN"/>
              </w:rPr>
            </w:pPr>
            <w:r w:rsidRPr="00C05E69">
              <w:rPr>
                <w:color w:val="000000"/>
                <w:lang w:eastAsia="zh-CN" w:bidi="ar"/>
              </w:rPr>
              <w:t>Hostel</w:t>
            </w:r>
          </w:p>
        </w:tc>
        <w:tc>
          <w:tcPr>
            <w:tcW w:w="2055" w:type="dxa"/>
            <w:vMerge/>
            <w:tcBorders>
              <w:left w:val="single" w:sz="4" w:space="0" w:color="auto"/>
              <w:right w:val="single" w:sz="4" w:space="0" w:color="auto"/>
            </w:tcBorders>
          </w:tcPr>
          <w:p w14:paraId="5EAD32D0" w14:textId="77777777" w:rsidR="00687CB5" w:rsidRPr="00C05E69" w:rsidRDefault="00687CB5">
            <w:pPr>
              <w:textAlignment w:val="center"/>
              <w:rPr>
                <w:color w:val="000000"/>
                <w:lang w:eastAsia="zh-CN" w:bidi="ar"/>
              </w:rPr>
            </w:pPr>
          </w:p>
        </w:tc>
        <w:tc>
          <w:tcPr>
            <w:tcW w:w="2223" w:type="dxa"/>
            <w:tcBorders>
              <w:top w:val="single" w:sz="4" w:space="0" w:color="auto"/>
              <w:left w:val="single" w:sz="4" w:space="0" w:color="auto"/>
              <w:bottom w:val="single" w:sz="4" w:space="0" w:color="auto"/>
              <w:right w:val="single" w:sz="4" w:space="0" w:color="auto"/>
            </w:tcBorders>
            <w:vAlign w:val="center"/>
          </w:tcPr>
          <w:p w14:paraId="35833612" w14:textId="77777777" w:rsidR="00687CB5" w:rsidRPr="00C05E69" w:rsidRDefault="0088594F">
            <w:pPr>
              <w:widowControl/>
              <w:textAlignment w:val="center"/>
              <w:rPr>
                <w:lang w:eastAsia="zh-CN"/>
              </w:rPr>
            </w:pPr>
            <w:r w:rsidRPr="00C05E69">
              <w:rPr>
                <w:color w:val="000000"/>
                <w:lang w:eastAsia="zh-CN" w:bidi="ar"/>
              </w:rPr>
              <w:t>Parking</w:t>
            </w:r>
          </w:p>
        </w:tc>
      </w:tr>
      <w:tr w:rsidR="00687CB5" w:rsidRPr="00C05E69" w14:paraId="692690F0" w14:textId="77777777">
        <w:trPr>
          <w:jc w:val="center"/>
        </w:trPr>
        <w:tc>
          <w:tcPr>
            <w:tcW w:w="2102" w:type="dxa"/>
            <w:vMerge/>
            <w:tcBorders>
              <w:top w:val="nil"/>
              <w:left w:val="single" w:sz="4" w:space="0" w:color="auto"/>
              <w:bottom w:val="single" w:sz="4" w:space="0" w:color="auto"/>
              <w:right w:val="single" w:sz="4" w:space="0" w:color="auto"/>
            </w:tcBorders>
            <w:vAlign w:val="center"/>
          </w:tcPr>
          <w:p w14:paraId="6B27A003" w14:textId="77777777" w:rsidR="00687CB5" w:rsidRPr="00C05E69" w:rsidRDefault="00687CB5">
            <w:pPr>
              <w:rPr>
                <w:lang w:eastAsia="zh-CN"/>
              </w:rPr>
            </w:pPr>
          </w:p>
        </w:tc>
        <w:tc>
          <w:tcPr>
            <w:tcW w:w="2235" w:type="dxa"/>
            <w:tcBorders>
              <w:top w:val="single" w:sz="4" w:space="0" w:color="auto"/>
              <w:left w:val="single" w:sz="4" w:space="0" w:color="auto"/>
              <w:bottom w:val="single" w:sz="4" w:space="0" w:color="auto"/>
              <w:right w:val="single" w:sz="4" w:space="0" w:color="auto"/>
            </w:tcBorders>
            <w:vAlign w:val="center"/>
          </w:tcPr>
          <w:p w14:paraId="6A3282A8" w14:textId="77777777" w:rsidR="00687CB5" w:rsidRPr="00C05E69" w:rsidRDefault="0088594F">
            <w:pPr>
              <w:widowControl/>
              <w:textAlignment w:val="center"/>
              <w:rPr>
                <w:lang w:eastAsia="zh-CN"/>
              </w:rPr>
            </w:pPr>
            <w:r w:rsidRPr="00C05E69">
              <w:rPr>
                <w:color w:val="000000"/>
                <w:lang w:eastAsia="zh-CN" w:bidi="ar"/>
              </w:rPr>
              <w:t>Motel</w:t>
            </w:r>
          </w:p>
        </w:tc>
        <w:tc>
          <w:tcPr>
            <w:tcW w:w="2055" w:type="dxa"/>
            <w:vMerge/>
            <w:tcBorders>
              <w:left w:val="single" w:sz="4" w:space="0" w:color="auto"/>
              <w:right w:val="single" w:sz="4" w:space="0" w:color="auto"/>
            </w:tcBorders>
          </w:tcPr>
          <w:p w14:paraId="2ECB52B4" w14:textId="77777777" w:rsidR="00687CB5" w:rsidRPr="00C05E69" w:rsidRDefault="00687CB5">
            <w:pPr>
              <w:textAlignment w:val="center"/>
              <w:rPr>
                <w:color w:val="000000"/>
                <w:lang w:eastAsia="zh-CN" w:bidi="ar"/>
              </w:rPr>
            </w:pPr>
          </w:p>
        </w:tc>
        <w:tc>
          <w:tcPr>
            <w:tcW w:w="2223" w:type="dxa"/>
            <w:tcBorders>
              <w:top w:val="single" w:sz="4" w:space="0" w:color="auto"/>
              <w:left w:val="single" w:sz="4" w:space="0" w:color="auto"/>
              <w:bottom w:val="single" w:sz="4" w:space="0" w:color="auto"/>
              <w:right w:val="single" w:sz="4" w:space="0" w:color="auto"/>
            </w:tcBorders>
            <w:vAlign w:val="center"/>
          </w:tcPr>
          <w:p w14:paraId="49309DE7" w14:textId="77777777" w:rsidR="00687CB5" w:rsidRPr="00C05E69" w:rsidRDefault="0088594F">
            <w:pPr>
              <w:widowControl/>
              <w:textAlignment w:val="center"/>
              <w:rPr>
                <w:lang w:eastAsia="zh-CN"/>
              </w:rPr>
            </w:pPr>
            <w:r w:rsidRPr="00C05E69">
              <w:rPr>
                <w:color w:val="000000"/>
                <w:lang w:eastAsia="zh-CN" w:bidi="ar"/>
              </w:rPr>
              <w:t>Parking Bicycle</w:t>
            </w:r>
          </w:p>
        </w:tc>
      </w:tr>
      <w:tr w:rsidR="00687CB5" w:rsidRPr="00C05E69" w14:paraId="58B41479" w14:textId="77777777">
        <w:trPr>
          <w:jc w:val="center"/>
        </w:trPr>
        <w:tc>
          <w:tcPr>
            <w:tcW w:w="2102" w:type="dxa"/>
            <w:vMerge w:val="restart"/>
            <w:tcBorders>
              <w:top w:val="single" w:sz="4" w:space="0" w:color="auto"/>
              <w:left w:val="single" w:sz="4" w:space="0" w:color="auto"/>
              <w:right w:val="single" w:sz="4" w:space="0" w:color="auto"/>
            </w:tcBorders>
            <w:vAlign w:val="center"/>
          </w:tcPr>
          <w:p w14:paraId="07934838" w14:textId="77777777" w:rsidR="00687CB5" w:rsidRPr="00C05E69" w:rsidRDefault="0088594F">
            <w:pPr>
              <w:textAlignment w:val="center"/>
              <w:rPr>
                <w:lang w:eastAsia="zh-CN"/>
              </w:rPr>
            </w:pPr>
            <w:r w:rsidRPr="00C05E69">
              <w:rPr>
                <w:color w:val="000000"/>
                <w:lang w:eastAsia="zh-CN" w:bidi="ar"/>
              </w:rPr>
              <w:t xml:space="preserve">Commercial </w:t>
            </w:r>
            <w:proofErr w:type="gramStart"/>
            <w:r w:rsidRPr="00C05E69">
              <w:rPr>
                <w:color w:val="000000"/>
                <w:lang w:eastAsia="zh-CN" w:bidi="ar"/>
              </w:rPr>
              <w:t>And</w:t>
            </w:r>
            <w:proofErr w:type="gramEnd"/>
            <w:r w:rsidRPr="00C05E69">
              <w:rPr>
                <w:color w:val="000000"/>
                <w:lang w:eastAsia="zh-CN" w:bidi="ar"/>
              </w:rPr>
              <w:t xml:space="preserve"> Office Area</w:t>
            </w:r>
          </w:p>
        </w:tc>
        <w:tc>
          <w:tcPr>
            <w:tcW w:w="2235" w:type="dxa"/>
            <w:tcBorders>
              <w:top w:val="single" w:sz="4" w:space="0" w:color="auto"/>
              <w:left w:val="single" w:sz="4" w:space="0" w:color="auto"/>
              <w:bottom w:val="single" w:sz="4" w:space="0" w:color="auto"/>
              <w:right w:val="single" w:sz="4" w:space="0" w:color="auto"/>
            </w:tcBorders>
            <w:vAlign w:val="center"/>
          </w:tcPr>
          <w:p w14:paraId="38463794" w14:textId="77777777" w:rsidR="00687CB5" w:rsidRPr="00C05E69" w:rsidRDefault="0088594F">
            <w:pPr>
              <w:widowControl/>
              <w:textAlignment w:val="center"/>
              <w:rPr>
                <w:lang w:eastAsia="zh-CN"/>
              </w:rPr>
            </w:pPr>
            <w:r w:rsidRPr="00C05E69">
              <w:rPr>
                <w:color w:val="000000"/>
                <w:lang w:eastAsia="zh-CN" w:bidi="ar"/>
              </w:rPr>
              <w:t>Bank</w:t>
            </w:r>
          </w:p>
        </w:tc>
        <w:tc>
          <w:tcPr>
            <w:tcW w:w="2055" w:type="dxa"/>
            <w:vMerge/>
            <w:tcBorders>
              <w:left w:val="single" w:sz="4" w:space="0" w:color="auto"/>
              <w:right w:val="single" w:sz="4" w:space="0" w:color="auto"/>
            </w:tcBorders>
          </w:tcPr>
          <w:p w14:paraId="78CEFB2F" w14:textId="77777777" w:rsidR="00687CB5" w:rsidRPr="00C05E69" w:rsidRDefault="00687CB5">
            <w:pPr>
              <w:textAlignment w:val="center"/>
              <w:rPr>
                <w:color w:val="000000"/>
                <w:lang w:eastAsia="zh-CN" w:bidi="ar"/>
              </w:rPr>
            </w:pPr>
          </w:p>
        </w:tc>
        <w:tc>
          <w:tcPr>
            <w:tcW w:w="2223" w:type="dxa"/>
            <w:tcBorders>
              <w:top w:val="single" w:sz="4" w:space="0" w:color="auto"/>
              <w:left w:val="single" w:sz="4" w:space="0" w:color="auto"/>
              <w:bottom w:val="single" w:sz="4" w:space="0" w:color="auto"/>
              <w:right w:val="single" w:sz="4" w:space="0" w:color="auto"/>
            </w:tcBorders>
            <w:vAlign w:val="center"/>
          </w:tcPr>
          <w:p w14:paraId="378732C9" w14:textId="77777777" w:rsidR="00687CB5" w:rsidRPr="00C05E69" w:rsidRDefault="0088594F">
            <w:pPr>
              <w:widowControl/>
              <w:textAlignment w:val="center"/>
              <w:rPr>
                <w:lang w:eastAsia="zh-CN"/>
              </w:rPr>
            </w:pPr>
            <w:r w:rsidRPr="00C05E69">
              <w:rPr>
                <w:color w:val="000000"/>
                <w:lang w:eastAsia="zh-CN" w:bidi="ar"/>
              </w:rPr>
              <w:t>Parking Multistorey</w:t>
            </w:r>
          </w:p>
        </w:tc>
      </w:tr>
      <w:tr w:rsidR="00687CB5" w:rsidRPr="00C05E69" w14:paraId="068F9CA5" w14:textId="77777777">
        <w:trPr>
          <w:jc w:val="center"/>
        </w:trPr>
        <w:tc>
          <w:tcPr>
            <w:tcW w:w="2102" w:type="dxa"/>
            <w:vMerge/>
            <w:tcBorders>
              <w:left w:val="single" w:sz="4" w:space="0" w:color="auto"/>
              <w:right w:val="single" w:sz="4" w:space="0" w:color="auto"/>
            </w:tcBorders>
            <w:vAlign w:val="center"/>
          </w:tcPr>
          <w:p w14:paraId="0F823C6D" w14:textId="77777777" w:rsidR="00687CB5" w:rsidRPr="00C05E69" w:rsidRDefault="00687CB5">
            <w:pPr>
              <w:textAlignment w:val="center"/>
              <w:rPr>
                <w:lang w:eastAsia="zh-CN"/>
              </w:rPr>
            </w:pPr>
          </w:p>
        </w:tc>
        <w:tc>
          <w:tcPr>
            <w:tcW w:w="2235" w:type="dxa"/>
            <w:tcBorders>
              <w:top w:val="single" w:sz="4" w:space="0" w:color="auto"/>
              <w:left w:val="single" w:sz="4" w:space="0" w:color="auto"/>
              <w:bottom w:val="single" w:sz="4" w:space="0" w:color="auto"/>
              <w:right w:val="single" w:sz="4" w:space="0" w:color="auto"/>
            </w:tcBorders>
            <w:vAlign w:val="center"/>
          </w:tcPr>
          <w:p w14:paraId="1254EC9B" w14:textId="77777777" w:rsidR="00687CB5" w:rsidRPr="00C05E69" w:rsidRDefault="0088594F">
            <w:pPr>
              <w:widowControl/>
              <w:textAlignment w:val="center"/>
              <w:rPr>
                <w:lang w:eastAsia="zh-CN"/>
              </w:rPr>
            </w:pPr>
            <w:r w:rsidRPr="00C05E69">
              <w:rPr>
                <w:color w:val="000000"/>
                <w:lang w:eastAsia="zh-CN" w:bidi="ar"/>
              </w:rPr>
              <w:t>Commercial Tower</w:t>
            </w:r>
          </w:p>
        </w:tc>
        <w:tc>
          <w:tcPr>
            <w:tcW w:w="2055" w:type="dxa"/>
            <w:vMerge/>
            <w:tcBorders>
              <w:left w:val="single" w:sz="4" w:space="0" w:color="auto"/>
              <w:right w:val="single" w:sz="4" w:space="0" w:color="auto"/>
            </w:tcBorders>
          </w:tcPr>
          <w:p w14:paraId="5F05A2F7" w14:textId="77777777" w:rsidR="00687CB5" w:rsidRPr="00C05E69" w:rsidRDefault="00687CB5">
            <w:pPr>
              <w:textAlignment w:val="center"/>
              <w:rPr>
                <w:color w:val="000000"/>
                <w:lang w:eastAsia="zh-CN" w:bidi="ar"/>
              </w:rPr>
            </w:pPr>
          </w:p>
        </w:tc>
        <w:tc>
          <w:tcPr>
            <w:tcW w:w="2223" w:type="dxa"/>
            <w:tcBorders>
              <w:top w:val="single" w:sz="4" w:space="0" w:color="auto"/>
              <w:left w:val="single" w:sz="4" w:space="0" w:color="auto"/>
              <w:bottom w:val="single" w:sz="4" w:space="0" w:color="auto"/>
              <w:right w:val="single" w:sz="4" w:space="0" w:color="auto"/>
            </w:tcBorders>
            <w:vAlign w:val="center"/>
          </w:tcPr>
          <w:p w14:paraId="7649C175" w14:textId="77777777" w:rsidR="00687CB5" w:rsidRPr="00C05E69" w:rsidRDefault="0088594F">
            <w:pPr>
              <w:widowControl/>
              <w:textAlignment w:val="center"/>
              <w:rPr>
                <w:lang w:eastAsia="zh-CN"/>
              </w:rPr>
            </w:pPr>
            <w:r w:rsidRPr="00C05E69">
              <w:rPr>
                <w:color w:val="000000"/>
                <w:lang w:eastAsia="zh-CN" w:bidi="ar"/>
              </w:rPr>
              <w:t>Parking Underground</w:t>
            </w:r>
          </w:p>
        </w:tc>
      </w:tr>
      <w:tr w:rsidR="00687CB5" w:rsidRPr="00C05E69" w14:paraId="58FB58A1" w14:textId="77777777">
        <w:trPr>
          <w:jc w:val="center"/>
        </w:trPr>
        <w:tc>
          <w:tcPr>
            <w:tcW w:w="2102" w:type="dxa"/>
            <w:vMerge/>
            <w:tcBorders>
              <w:left w:val="single" w:sz="4" w:space="0" w:color="auto"/>
              <w:right w:val="single" w:sz="4" w:space="0" w:color="auto"/>
            </w:tcBorders>
            <w:vAlign w:val="center"/>
          </w:tcPr>
          <w:p w14:paraId="4E791239" w14:textId="77777777" w:rsidR="00687CB5" w:rsidRPr="00C05E69" w:rsidRDefault="00687CB5">
            <w:pPr>
              <w:textAlignment w:val="center"/>
              <w:rPr>
                <w:lang w:eastAsia="zh-CN"/>
              </w:rPr>
            </w:pPr>
          </w:p>
        </w:tc>
        <w:tc>
          <w:tcPr>
            <w:tcW w:w="2235" w:type="dxa"/>
            <w:tcBorders>
              <w:top w:val="single" w:sz="4" w:space="0" w:color="auto"/>
              <w:left w:val="single" w:sz="4" w:space="0" w:color="auto"/>
              <w:bottom w:val="single" w:sz="4" w:space="0" w:color="auto"/>
              <w:right w:val="single" w:sz="4" w:space="0" w:color="auto"/>
            </w:tcBorders>
            <w:vAlign w:val="center"/>
          </w:tcPr>
          <w:p w14:paraId="15BCFBF6" w14:textId="77777777" w:rsidR="00687CB5" w:rsidRPr="00C05E69" w:rsidRDefault="0088594F">
            <w:pPr>
              <w:widowControl/>
              <w:textAlignment w:val="center"/>
              <w:rPr>
                <w:lang w:eastAsia="zh-CN"/>
              </w:rPr>
            </w:pPr>
            <w:r w:rsidRPr="00C05E69">
              <w:rPr>
                <w:color w:val="000000"/>
                <w:lang w:eastAsia="zh-CN" w:bidi="ar"/>
              </w:rPr>
              <w:t>Convenience</w:t>
            </w:r>
          </w:p>
        </w:tc>
        <w:tc>
          <w:tcPr>
            <w:tcW w:w="2055" w:type="dxa"/>
            <w:vMerge/>
            <w:tcBorders>
              <w:left w:val="single" w:sz="4" w:space="0" w:color="auto"/>
              <w:right w:val="single" w:sz="4" w:space="0" w:color="auto"/>
            </w:tcBorders>
          </w:tcPr>
          <w:p w14:paraId="0E1ACB63" w14:textId="77777777" w:rsidR="00687CB5" w:rsidRPr="00C05E69" w:rsidRDefault="00687CB5">
            <w:pPr>
              <w:textAlignment w:val="center"/>
              <w:rPr>
                <w:color w:val="000000"/>
                <w:lang w:eastAsia="zh-CN" w:bidi="ar"/>
              </w:rPr>
            </w:pPr>
          </w:p>
        </w:tc>
        <w:tc>
          <w:tcPr>
            <w:tcW w:w="2223" w:type="dxa"/>
            <w:tcBorders>
              <w:top w:val="single" w:sz="4" w:space="0" w:color="auto"/>
              <w:left w:val="single" w:sz="4" w:space="0" w:color="auto"/>
              <w:bottom w:val="single" w:sz="4" w:space="0" w:color="auto"/>
              <w:right w:val="single" w:sz="4" w:space="0" w:color="auto"/>
            </w:tcBorders>
            <w:vAlign w:val="center"/>
          </w:tcPr>
          <w:p w14:paraId="34F93F3A" w14:textId="77777777" w:rsidR="00687CB5" w:rsidRPr="00C05E69" w:rsidRDefault="0088594F">
            <w:pPr>
              <w:widowControl/>
              <w:textAlignment w:val="center"/>
              <w:rPr>
                <w:lang w:eastAsia="zh-CN"/>
              </w:rPr>
            </w:pPr>
            <w:r w:rsidRPr="00C05E69">
              <w:rPr>
                <w:color w:val="000000"/>
                <w:lang w:eastAsia="zh-CN" w:bidi="ar"/>
              </w:rPr>
              <w:t>Railway Station</w:t>
            </w:r>
          </w:p>
        </w:tc>
      </w:tr>
      <w:tr w:rsidR="00687CB5" w:rsidRPr="00C05E69" w14:paraId="6EC39848" w14:textId="77777777">
        <w:trPr>
          <w:jc w:val="center"/>
        </w:trPr>
        <w:tc>
          <w:tcPr>
            <w:tcW w:w="2102" w:type="dxa"/>
            <w:vMerge/>
            <w:tcBorders>
              <w:left w:val="single" w:sz="4" w:space="0" w:color="auto"/>
              <w:right w:val="single" w:sz="4" w:space="0" w:color="auto"/>
            </w:tcBorders>
            <w:vAlign w:val="center"/>
          </w:tcPr>
          <w:p w14:paraId="3D83FA0C" w14:textId="77777777" w:rsidR="00687CB5" w:rsidRPr="00C05E69" w:rsidRDefault="00687CB5">
            <w:pPr>
              <w:widowControl/>
              <w:textAlignment w:val="center"/>
              <w:rPr>
                <w:lang w:eastAsia="zh-CN"/>
              </w:rPr>
            </w:pPr>
          </w:p>
        </w:tc>
        <w:tc>
          <w:tcPr>
            <w:tcW w:w="2235" w:type="dxa"/>
            <w:tcBorders>
              <w:top w:val="single" w:sz="4" w:space="0" w:color="auto"/>
              <w:left w:val="single" w:sz="4" w:space="0" w:color="auto"/>
              <w:bottom w:val="single" w:sz="4" w:space="0" w:color="auto"/>
              <w:right w:val="single" w:sz="4" w:space="0" w:color="auto"/>
            </w:tcBorders>
            <w:vAlign w:val="center"/>
          </w:tcPr>
          <w:p w14:paraId="0B1C64DF" w14:textId="77777777" w:rsidR="00687CB5" w:rsidRPr="00C05E69" w:rsidRDefault="0088594F">
            <w:pPr>
              <w:widowControl/>
              <w:textAlignment w:val="center"/>
              <w:rPr>
                <w:lang w:eastAsia="zh-CN"/>
              </w:rPr>
            </w:pPr>
            <w:r w:rsidRPr="00C05E69">
              <w:rPr>
                <w:color w:val="000000"/>
                <w:lang w:eastAsia="zh-CN" w:bidi="ar"/>
              </w:rPr>
              <w:t>Department Store</w:t>
            </w:r>
          </w:p>
        </w:tc>
        <w:tc>
          <w:tcPr>
            <w:tcW w:w="2055" w:type="dxa"/>
            <w:vMerge/>
            <w:tcBorders>
              <w:left w:val="single" w:sz="4" w:space="0" w:color="auto"/>
              <w:bottom w:val="single" w:sz="4" w:space="0" w:color="auto"/>
              <w:right w:val="single" w:sz="4" w:space="0" w:color="auto"/>
            </w:tcBorders>
          </w:tcPr>
          <w:p w14:paraId="5B566F90" w14:textId="77777777" w:rsidR="00687CB5" w:rsidRPr="00C05E69" w:rsidRDefault="00687CB5">
            <w:pPr>
              <w:textAlignment w:val="center"/>
              <w:rPr>
                <w:color w:val="000000"/>
                <w:lang w:eastAsia="zh-CN" w:bidi="ar"/>
              </w:rPr>
            </w:pPr>
          </w:p>
        </w:tc>
        <w:tc>
          <w:tcPr>
            <w:tcW w:w="2223" w:type="dxa"/>
            <w:tcBorders>
              <w:top w:val="single" w:sz="4" w:space="0" w:color="auto"/>
              <w:left w:val="single" w:sz="4" w:space="0" w:color="auto"/>
              <w:bottom w:val="single" w:sz="4" w:space="0" w:color="auto"/>
              <w:right w:val="single" w:sz="4" w:space="0" w:color="auto"/>
            </w:tcBorders>
            <w:vAlign w:val="center"/>
          </w:tcPr>
          <w:p w14:paraId="1E02DC21" w14:textId="77777777" w:rsidR="00687CB5" w:rsidRPr="00C05E69" w:rsidRDefault="0088594F">
            <w:pPr>
              <w:widowControl/>
              <w:textAlignment w:val="center"/>
              <w:rPr>
                <w:lang w:eastAsia="zh-CN"/>
              </w:rPr>
            </w:pPr>
            <w:r w:rsidRPr="00C05E69">
              <w:rPr>
                <w:color w:val="000000"/>
                <w:lang w:eastAsia="zh-CN" w:bidi="ar"/>
              </w:rPr>
              <w:t>Taxi</w:t>
            </w:r>
          </w:p>
        </w:tc>
      </w:tr>
      <w:tr w:rsidR="00687CB5" w:rsidRPr="00C05E69" w14:paraId="5CC51CEF" w14:textId="77777777">
        <w:trPr>
          <w:jc w:val="center"/>
        </w:trPr>
        <w:tc>
          <w:tcPr>
            <w:tcW w:w="2102" w:type="dxa"/>
            <w:vMerge/>
            <w:tcBorders>
              <w:left w:val="single" w:sz="4" w:space="0" w:color="auto"/>
              <w:right w:val="single" w:sz="4" w:space="0" w:color="auto"/>
            </w:tcBorders>
            <w:vAlign w:val="center"/>
          </w:tcPr>
          <w:p w14:paraId="60B5E822" w14:textId="77777777" w:rsidR="00687CB5" w:rsidRPr="00C05E69" w:rsidRDefault="00687CB5">
            <w:pPr>
              <w:rPr>
                <w:lang w:eastAsia="zh-CN"/>
              </w:rPr>
            </w:pPr>
          </w:p>
        </w:tc>
        <w:tc>
          <w:tcPr>
            <w:tcW w:w="2235" w:type="dxa"/>
            <w:tcBorders>
              <w:top w:val="single" w:sz="4" w:space="0" w:color="auto"/>
              <w:left w:val="single" w:sz="4" w:space="0" w:color="auto"/>
              <w:bottom w:val="single" w:sz="4" w:space="0" w:color="auto"/>
              <w:right w:val="single" w:sz="4" w:space="0" w:color="auto"/>
            </w:tcBorders>
            <w:vAlign w:val="center"/>
          </w:tcPr>
          <w:p w14:paraId="3D97426F" w14:textId="77777777" w:rsidR="00687CB5" w:rsidRPr="00C05E69" w:rsidRDefault="0088594F">
            <w:pPr>
              <w:widowControl/>
              <w:textAlignment w:val="center"/>
              <w:rPr>
                <w:lang w:eastAsia="zh-CN"/>
              </w:rPr>
            </w:pPr>
            <w:r w:rsidRPr="00C05E69">
              <w:rPr>
                <w:color w:val="000000"/>
                <w:lang w:eastAsia="zh-CN" w:bidi="ar"/>
              </w:rPr>
              <w:t>Mall</w:t>
            </w:r>
          </w:p>
        </w:tc>
        <w:tc>
          <w:tcPr>
            <w:tcW w:w="2055" w:type="dxa"/>
            <w:vMerge w:val="restart"/>
            <w:tcBorders>
              <w:top w:val="single" w:sz="4" w:space="0" w:color="auto"/>
              <w:left w:val="single" w:sz="4" w:space="0" w:color="auto"/>
              <w:right w:val="single" w:sz="4" w:space="0" w:color="auto"/>
            </w:tcBorders>
            <w:vAlign w:val="center"/>
          </w:tcPr>
          <w:p w14:paraId="6EDC6D3F" w14:textId="77777777" w:rsidR="00687CB5" w:rsidRPr="00C05E69" w:rsidRDefault="0088594F">
            <w:pPr>
              <w:widowControl/>
              <w:textAlignment w:val="center"/>
              <w:rPr>
                <w:lang w:eastAsia="zh-CN"/>
              </w:rPr>
            </w:pPr>
            <w:r w:rsidRPr="00C05E69">
              <w:rPr>
                <w:color w:val="000000"/>
                <w:lang w:eastAsia="zh-CN" w:bidi="ar"/>
              </w:rPr>
              <w:t>Educational Facility</w:t>
            </w:r>
          </w:p>
        </w:tc>
        <w:tc>
          <w:tcPr>
            <w:tcW w:w="2223" w:type="dxa"/>
            <w:tcBorders>
              <w:top w:val="single" w:sz="4" w:space="0" w:color="auto"/>
              <w:left w:val="single" w:sz="4" w:space="0" w:color="auto"/>
              <w:bottom w:val="single" w:sz="4" w:space="0" w:color="auto"/>
              <w:right w:val="single" w:sz="4" w:space="0" w:color="auto"/>
            </w:tcBorders>
            <w:vAlign w:val="center"/>
          </w:tcPr>
          <w:p w14:paraId="1957EA52" w14:textId="77777777" w:rsidR="00687CB5" w:rsidRPr="00C05E69" w:rsidRDefault="0088594F">
            <w:pPr>
              <w:widowControl/>
              <w:textAlignment w:val="center"/>
              <w:rPr>
                <w:lang w:eastAsia="zh-CN"/>
              </w:rPr>
            </w:pPr>
            <w:r w:rsidRPr="00C05E69">
              <w:rPr>
                <w:color w:val="000000"/>
                <w:lang w:eastAsia="zh-CN" w:bidi="ar"/>
              </w:rPr>
              <w:t>College</w:t>
            </w:r>
          </w:p>
        </w:tc>
      </w:tr>
      <w:tr w:rsidR="00687CB5" w:rsidRPr="00C05E69" w14:paraId="2D99B5E9" w14:textId="77777777">
        <w:trPr>
          <w:jc w:val="center"/>
        </w:trPr>
        <w:tc>
          <w:tcPr>
            <w:tcW w:w="2102" w:type="dxa"/>
            <w:vMerge/>
            <w:tcBorders>
              <w:left w:val="single" w:sz="4" w:space="0" w:color="auto"/>
              <w:right w:val="single" w:sz="4" w:space="0" w:color="auto"/>
            </w:tcBorders>
            <w:vAlign w:val="center"/>
          </w:tcPr>
          <w:p w14:paraId="10F3F22A" w14:textId="77777777" w:rsidR="00687CB5" w:rsidRPr="00C05E69" w:rsidRDefault="00687CB5">
            <w:pPr>
              <w:rPr>
                <w:lang w:eastAsia="zh-CN"/>
              </w:rPr>
            </w:pPr>
          </w:p>
        </w:tc>
        <w:tc>
          <w:tcPr>
            <w:tcW w:w="2235" w:type="dxa"/>
            <w:tcBorders>
              <w:top w:val="single" w:sz="4" w:space="0" w:color="auto"/>
              <w:left w:val="single" w:sz="4" w:space="0" w:color="auto"/>
              <w:bottom w:val="single" w:sz="4" w:space="0" w:color="auto"/>
              <w:right w:val="single" w:sz="4" w:space="0" w:color="auto"/>
            </w:tcBorders>
            <w:vAlign w:val="center"/>
          </w:tcPr>
          <w:p w14:paraId="799DF9F7" w14:textId="77777777" w:rsidR="00687CB5" w:rsidRPr="00C05E69" w:rsidRDefault="0088594F">
            <w:pPr>
              <w:widowControl/>
              <w:textAlignment w:val="center"/>
              <w:rPr>
                <w:lang w:eastAsia="zh-CN"/>
              </w:rPr>
            </w:pPr>
            <w:r w:rsidRPr="00C05E69">
              <w:rPr>
                <w:color w:val="000000"/>
                <w:lang w:eastAsia="zh-CN" w:bidi="ar"/>
              </w:rPr>
              <w:t>Post Office</w:t>
            </w:r>
          </w:p>
        </w:tc>
        <w:tc>
          <w:tcPr>
            <w:tcW w:w="2055" w:type="dxa"/>
            <w:vMerge/>
            <w:tcBorders>
              <w:left w:val="single" w:sz="4" w:space="0" w:color="auto"/>
              <w:right w:val="single" w:sz="4" w:space="0" w:color="auto"/>
            </w:tcBorders>
            <w:vAlign w:val="center"/>
          </w:tcPr>
          <w:p w14:paraId="3C8B6839" w14:textId="77777777" w:rsidR="00687CB5" w:rsidRPr="00C05E69" w:rsidRDefault="00687CB5">
            <w:pPr>
              <w:rPr>
                <w:lang w:eastAsia="zh-CN"/>
              </w:rPr>
            </w:pPr>
          </w:p>
        </w:tc>
        <w:tc>
          <w:tcPr>
            <w:tcW w:w="2223" w:type="dxa"/>
            <w:tcBorders>
              <w:top w:val="single" w:sz="4" w:space="0" w:color="auto"/>
              <w:left w:val="single" w:sz="4" w:space="0" w:color="auto"/>
              <w:bottom w:val="single" w:sz="4" w:space="0" w:color="auto"/>
              <w:right w:val="single" w:sz="4" w:space="0" w:color="auto"/>
            </w:tcBorders>
            <w:vAlign w:val="center"/>
          </w:tcPr>
          <w:p w14:paraId="4B2A3756" w14:textId="77777777" w:rsidR="00687CB5" w:rsidRPr="00C05E69" w:rsidRDefault="0088594F">
            <w:pPr>
              <w:widowControl/>
              <w:textAlignment w:val="center"/>
              <w:rPr>
                <w:lang w:eastAsia="zh-CN"/>
              </w:rPr>
            </w:pPr>
            <w:r w:rsidRPr="00C05E69">
              <w:rPr>
                <w:color w:val="000000"/>
                <w:lang w:eastAsia="zh-CN" w:bidi="ar"/>
              </w:rPr>
              <w:t>School</w:t>
            </w:r>
          </w:p>
        </w:tc>
      </w:tr>
      <w:tr w:rsidR="00687CB5" w:rsidRPr="00C05E69" w14:paraId="378B3829" w14:textId="77777777">
        <w:trPr>
          <w:jc w:val="center"/>
        </w:trPr>
        <w:tc>
          <w:tcPr>
            <w:tcW w:w="2102" w:type="dxa"/>
            <w:vMerge/>
            <w:tcBorders>
              <w:left w:val="single" w:sz="4" w:space="0" w:color="auto"/>
              <w:right w:val="single" w:sz="4" w:space="0" w:color="auto"/>
            </w:tcBorders>
            <w:vAlign w:val="center"/>
          </w:tcPr>
          <w:p w14:paraId="7CE4730C" w14:textId="77777777" w:rsidR="00687CB5" w:rsidRPr="00C05E69" w:rsidRDefault="00687CB5">
            <w:pPr>
              <w:rPr>
                <w:lang w:eastAsia="zh-CN"/>
              </w:rPr>
            </w:pPr>
          </w:p>
        </w:tc>
        <w:tc>
          <w:tcPr>
            <w:tcW w:w="2235" w:type="dxa"/>
            <w:tcBorders>
              <w:top w:val="single" w:sz="4" w:space="0" w:color="auto"/>
              <w:left w:val="single" w:sz="4" w:space="0" w:color="auto"/>
              <w:bottom w:val="single" w:sz="4" w:space="0" w:color="auto"/>
              <w:right w:val="single" w:sz="4" w:space="0" w:color="auto"/>
            </w:tcBorders>
            <w:vAlign w:val="center"/>
          </w:tcPr>
          <w:p w14:paraId="631E9788" w14:textId="77777777" w:rsidR="00687CB5" w:rsidRPr="00C05E69" w:rsidRDefault="0088594F">
            <w:pPr>
              <w:widowControl/>
              <w:textAlignment w:val="center"/>
              <w:rPr>
                <w:lang w:eastAsia="zh-CN"/>
              </w:rPr>
            </w:pPr>
            <w:r w:rsidRPr="00C05E69">
              <w:rPr>
                <w:color w:val="000000"/>
                <w:lang w:eastAsia="zh-CN" w:bidi="ar"/>
              </w:rPr>
              <w:t>Public Building</w:t>
            </w:r>
          </w:p>
        </w:tc>
        <w:tc>
          <w:tcPr>
            <w:tcW w:w="2055" w:type="dxa"/>
            <w:vMerge/>
            <w:tcBorders>
              <w:left w:val="single" w:sz="4" w:space="0" w:color="auto"/>
              <w:bottom w:val="single" w:sz="4" w:space="0" w:color="auto"/>
              <w:right w:val="single" w:sz="4" w:space="0" w:color="auto"/>
            </w:tcBorders>
            <w:vAlign w:val="center"/>
          </w:tcPr>
          <w:p w14:paraId="27A82622" w14:textId="77777777" w:rsidR="00687CB5" w:rsidRPr="00C05E69" w:rsidRDefault="00687CB5">
            <w:pPr>
              <w:rPr>
                <w:lang w:eastAsia="zh-CN"/>
              </w:rPr>
            </w:pPr>
          </w:p>
        </w:tc>
        <w:tc>
          <w:tcPr>
            <w:tcW w:w="2223" w:type="dxa"/>
            <w:tcBorders>
              <w:top w:val="single" w:sz="4" w:space="0" w:color="auto"/>
              <w:left w:val="single" w:sz="4" w:space="0" w:color="auto"/>
              <w:bottom w:val="single" w:sz="4" w:space="0" w:color="auto"/>
              <w:right w:val="single" w:sz="4" w:space="0" w:color="auto"/>
            </w:tcBorders>
            <w:vAlign w:val="center"/>
          </w:tcPr>
          <w:p w14:paraId="78CBA523" w14:textId="77777777" w:rsidR="00687CB5" w:rsidRPr="00C05E69" w:rsidRDefault="0088594F">
            <w:pPr>
              <w:widowControl/>
              <w:textAlignment w:val="center"/>
              <w:rPr>
                <w:lang w:eastAsia="zh-CN"/>
              </w:rPr>
            </w:pPr>
            <w:r w:rsidRPr="00C05E69">
              <w:rPr>
                <w:color w:val="000000"/>
                <w:lang w:eastAsia="zh-CN" w:bidi="ar"/>
              </w:rPr>
              <w:t>University</w:t>
            </w:r>
          </w:p>
        </w:tc>
      </w:tr>
      <w:tr w:rsidR="00687CB5" w:rsidRPr="00C05E69" w14:paraId="5FB65C83" w14:textId="77777777">
        <w:trPr>
          <w:trHeight w:val="205"/>
          <w:jc w:val="center"/>
        </w:trPr>
        <w:tc>
          <w:tcPr>
            <w:tcW w:w="2102" w:type="dxa"/>
            <w:vMerge/>
            <w:tcBorders>
              <w:left w:val="single" w:sz="4" w:space="0" w:color="auto"/>
              <w:right w:val="single" w:sz="4" w:space="0" w:color="auto"/>
            </w:tcBorders>
            <w:vAlign w:val="center"/>
          </w:tcPr>
          <w:p w14:paraId="72F64DE4" w14:textId="77777777" w:rsidR="00687CB5" w:rsidRPr="00C05E69" w:rsidRDefault="00687CB5">
            <w:pPr>
              <w:rPr>
                <w:lang w:eastAsia="zh-CN"/>
              </w:rPr>
            </w:pPr>
          </w:p>
        </w:tc>
        <w:tc>
          <w:tcPr>
            <w:tcW w:w="2235" w:type="dxa"/>
            <w:tcBorders>
              <w:top w:val="single" w:sz="4" w:space="0" w:color="auto"/>
              <w:left w:val="single" w:sz="4" w:space="0" w:color="auto"/>
              <w:bottom w:val="single" w:sz="4" w:space="0" w:color="auto"/>
              <w:right w:val="single" w:sz="4" w:space="0" w:color="auto"/>
            </w:tcBorders>
            <w:vAlign w:val="center"/>
          </w:tcPr>
          <w:p w14:paraId="6E170B3A" w14:textId="77777777" w:rsidR="00687CB5" w:rsidRPr="00C05E69" w:rsidRDefault="0088594F">
            <w:pPr>
              <w:widowControl/>
              <w:textAlignment w:val="center"/>
              <w:rPr>
                <w:lang w:eastAsia="zh-CN"/>
              </w:rPr>
            </w:pPr>
            <w:r w:rsidRPr="00C05E69">
              <w:rPr>
                <w:color w:val="000000"/>
                <w:lang w:eastAsia="zh-CN" w:bidi="ar"/>
              </w:rPr>
              <w:t>Supermarket</w:t>
            </w:r>
          </w:p>
        </w:tc>
        <w:tc>
          <w:tcPr>
            <w:tcW w:w="2055" w:type="dxa"/>
            <w:vMerge w:val="restart"/>
            <w:tcBorders>
              <w:top w:val="single" w:sz="4" w:space="0" w:color="auto"/>
              <w:left w:val="single" w:sz="4" w:space="0" w:color="auto"/>
              <w:right w:val="single" w:sz="4" w:space="0" w:color="auto"/>
            </w:tcBorders>
            <w:vAlign w:val="center"/>
          </w:tcPr>
          <w:p w14:paraId="0516A364" w14:textId="77777777" w:rsidR="00687CB5" w:rsidRPr="00C05E69" w:rsidRDefault="0088594F">
            <w:pPr>
              <w:widowControl/>
              <w:textAlignment w:val="center"/>
              <w:rPr>
                <w:lang w:eastAsia="zh-CN"/>
              </w:rPr>
            </w:pPr>
            <w:r w:rsidRPr="00C05E69">
              <w:rPr>
                <w:color w:val="000000"/>
                <w:lang w:eastAsia="zh-CN" w:bidi="ar"/>
              </w:rPr>
              <w:t>Hospital</w:t>
            </w:r>
          </w:p>
        </w:tc>
        <w:tc>
          <w:tcPr>
            <w:tcW w:w="2223" w:type="dxa"/>
            <w:vMerge w:val="restart"/>
            <w:tcBorders>
              <w:top w:val="single" w:sz="4" w:space="0" w:color="auto"/>
              <w:left w:val="single" w:sz="4" w:space="0" w:color="auto"/>
              <w:right w:val="single" w:sz="4" w:space="0" w:color="auto"/>
            </w:tcBorders>
            <w:vAlign w:val="center"/>
          </w:tcPr>
          <w:p w14:paraId="5086D56B" w14:textId="77777777" w:rsidR="00687CB5" w:rsidRPr="00C05E69" w:rsidRDefault="0088594F">
            <w:pPr>
              <w:widowControl/>
              <w:textAlignment w:val="center"/>
              <w:rPr>
                <w:lang w:eastAsia="zh-CN"/>
              </w:rPr>
            </w:pPr>
            <w:r w:rsidRPr="00C05E69">
              <w:rPr>
                <w:color w:val="000000"/>
                <w:lang w:eastAsia="zh-CN" w:bidi="ar"/>
              </w:rPr>
              <w:t>Hospital</w:t>
            </w:r>
          </w:p>
        </w:tc>
      </w:tr>
      <w:tr w:rsidR="00687CB5" w:rsidRPr="00C05E69" w14:paraId="2ABECE88" w14:textId="77777777">
        <w:trPr>
          <w:jc w:val="center"/>
        </w:trPr>
        <w:tc>
          <w:tcPr>
            <w:tcW w:w="2102" w:type="dxa"/>
            <w:vMerge/>
            <w:tcBorders>
              <w:left w:val="single" w:sz="4" w:space="0" w:color="auto"/>
              <w:right w:val="single" w:sz="4" w:space="0" w:color="auto"/>
            </w:tcBorders>
            <w:vAlign w:val="center"/>
          </w:tcPr>
          <w:p w14:paraId="7207E3FB" w14:textId="77777777" w:rsidR="00687CB5" w:rsidRPr="00C05E69" w:rsidRDefault="00687CB5">
            <w:pPr>
              <w:rPr>
                <w:lang w:eastAsia="zh-CN"/>
              </w:rPr>
            </w:pPr>
          </w:p>
        </w:tc>
        <w:tc>
          <w:tcPr>
            <w:tcW w:w="2235" w:type="dxa"/>
            <w:tcBorders>
              <w:top w:val="single" w:sz="4" w:space="0" w:color="auto"/>
              <w:left w:val="single" w:sz="4" w:space="0" w:color="auto"/>
              <w:bottom w:val="single" w:sz="4" w:space="0" w:color="auto"/>
              <w:right w:val="single" w:sz="4" w:space="0" w:color="auto"/>
            </w:tcBorders>
            <w:vAlign w:val="center"/>
          </w:tcPr>
          <w:p w14:paraId="33C1FE95" w14:textId="77777777" w:rsidR="00687CB5" w:rsidRPr="00C05E69" w:rsidRDefault="0088594F">
            <w:pPr>
              <w:widowControl/>
              <w:textAlignment w:val="center"/>
              <w:rPr>
                <w:color w:val="000000"/>
                <w:lang w:eastAsia="zh-CN" w:bidi="ar"/>
              </w:rPr>
            </w:pPr>
            <w:r w:rsidRPr="00C05E69">
              <w:rPr>
                <w:color w:val="000000"/>
                <w:lang w:eastAsia="zh-CN" w:bidi="ar"/>
              </w:rPr>
              <w:t>Courthouse</w:t>
            </w:r>
          </w:p>
        </w:tc>
        <w:tc>
          <w:tcPr>
            <w:tcW w:w="2055" w:type="dxa"/>
            <w:vMerge/>
            <w:tcBorders>
              <w:left w:val="single" w:sz="4" w:space="0" w:color="auto"/>
              <w:right w:val="single" w:sz="4" w:space="0" w:color="auto"/>
            </w:tcBorders>
            <w:vAlign w:val="center"/>
          </w:tcPr>
          <w:p w14:paraId="34507146" w14:textId="77777777" w:rsidR="00687CB5" w:rsidRPr="00C05E69" w:rsidRDefault="00687CB5">
            <w:pPr>
              <w:widowControl/>
              <w:textAlignment w:val="center"/>
              <w:rPr>
                <w:color w:val="000000"/>
                <w:lang w:eastAsia="zh-CN" w:bidi="ar"/>
              </w:rPr>
            </w:pPr>
          </w:p>
        </w:tc>
        <w:tc>
          <w:tcPr>
            <w:tcW w:w="2223" w:type="dxa"/>
            <w:vMerge/>
            <w:tcBorders>
              <w:left w:val="single" w:sz="4" w:space="0" w:color="auto"/>
              <w:right w:val="single" w:sz="4" w:space="0" w:color="auto"/>
            </w:tcBorders>
            <w:vAlign w:val="center"/>
          </w:tcPr>
          <w:p w14:paraId="0D16476D" w14:textId="77777777" w:rsidR="00687CB5" w:rsidRPr="00C05E69" w:rsidRDefault="00687CB5">
            <w:pPr>
              <w:widowControl/>
              <w:textAlignment w:val="center"/>
              <w:rPr>
                <w:color w:val="000000"/>
                <w:lang w:eastAsia="zh-CN" w:bidi="ar"/>
              </w:rPr>
            </w:pPr>
          </w:p>
        </w:tc>
      </w:tr>
    </w:tbl>
    <w:p w14:paraId="7505F824" w14:textId="77777777" w:rsidR="00687CB5" w:rsidRPr="00C05E69" w:rsidRDefault="00687CB5" w:rsidP="0088594F">
      <w:pPr>
        <w:pStyle w:val="BodyText"/>
        <w:tabs>
          <w:tab w:val="left" w:pos="7230"/>
        </w:tabs>
        <w:spacing w:before="3" w:line="274" w:lineRule="exact"/>
        <w:ind w:right="123" w:firstLineChars="127" w:firstLine="279"/>
        <w:jc w:val="both"/>
        <w:rPr>
          <w:rFonts w:cs="Times New Roman"/>
          <w:sz w:val="22"/>
          <w:szCs w:val="22"/>
        </w:rPr>
      </w:pPr>
    </w:p>
    <w:p w14:paraId="7D30090A" w14:textId="77777777" w:rsidR="00994142" w:rsidRPr="00994142" w:rsidRDefault="00994142" w:rsidP="00994142"/>
    <w:p w14:paraId="0C655CF3" w14:textId="14DE0AE1" w:rsidR="00F83F96" w:rsidRDefault="0020253B" w:rsidP="00C05E69">
      <w:pPr>
        <w:pStyle w:val="ListParagraph"/>
        <w:numPr>
          <w:ilvl w:val="0"/>
          <w:numId w:val="6"/>
        </w:numPr>
        <w:ind w:hanging="2804"/>
        <w:jc w:val="both"/>
        <w:rPr>
          <w:lang w:eastAsia="zh-CN"/>
        </w:rPr>
      </w:pPr>
      <w:r>
        <w:rPr>
          <w:noProof/>
          <w:lang w:eastAsia="zh-CN"/>
        </w:rPr>
        <w:lastRenderedPageBreak/>
        <w:drawing>
          <wp:anchor distT="0" distB="0" distL="114300" distR="114300" simplePos="0" relativeHeight="251661312" behindDoc="0" locked="0" layoutInCell="1" allowOverlap="1" wp14:anchorId="613CEE27" wp14:editId="4A94EAC1">
            <wp:simplePos x="0" y="0"/>
            <wp:positionH relativeFrom="column">
              <wp:posOffset>73949</wp:posOffset>
            </wp:positionH>
            <wp:positionV relativeFrom="paragraph">
              <wp:posOffset>2074834</wp:posOffset>
            </wp:positionV>
            <wp:extent cx="1948680" cy="1731240"/>
            <wp:effectExtent l="19050" t="19050" r="13970" b="21590"/>
            <wp:wrapThrough wrapText="bothSides">
              <wp:wrapPolygon edited="0">
                <wp:start x="-211" y="-238"/>
                <wp:lineTo x="-211" y="21632"/>
                <wp:lineTo x="21544" y="21632"/>
                <wp:lineTo x="21544" y="-238"/>
                <wp:lineTo x="-211" y="-238"/>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PNG"/>
                    <pic:cNvPicPr/>
                  </pic:nvPicPr>
                  <pic:blipFill rotWithShape="1">
                    <a:blip r:embed="rId12" cstate="print">
                      <a:extLst>
                        <a:ext uri="{28A0092B-C50C-407E-A947-70E740481C1C}">
                          <a14:useLocalDpi xmlns:a14="http://schemas.microsoft.com/office/drawing/2010/main" val="0"/>
                        </a:ext>
                      </a:extLst>
                    </a:blip>
                    <a:srcRect t="1646"/>
                    <a:stretch/>
                  </pic:blipFill>
                  <pic:spPr bwMode="auto">
                    <a:xfrm>
                      <a:off x="0" y="0"/>
                      <a:ext cx="1948680" cy="1731240"/>
                    </a:xfrm>
                    <a:prstGeom prst="rect">
                      <a:avLst/>
                    </a:prstGeom>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3360" behindDoc="0" locked="0" layoutInCell="1" allowOverlap="1" wp14:anchorId="29C9C5F7" wp14:editId="1BFA945B">
            <wp:simplePos x="0" y="0"/>
            <wp:positionH relativeFrom="column">
              <wp:posOffset>3996402</wp:posOffset>
            </wp:positionH>
            <wp:positionV relativeFrom="paragraph">
              <wp:posOffset>2110278</wp:posOffset>
            </wp:positionV>
            <wp:extent cx="1935720" cy="1750680"/>
            <wp:effectExtent l="19050" t="19050" r="26670" b="21590"/>
            <wp:wrapThrough wrapText="bothSides">
              <wp:wrapPolygon edited="0">
                <wp:start x="-213" y="-235"/>
                <wp:lineTo x="-213" y="21631"/>
                <wp:lineTo x="21685" y="21631"/>
                <wp:lineTo x="21685" y="-235"/>
                <wp:lineTo x="-213" y="-235"/>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ilitas publik.PNG"/>
                    <pic:cNvPicPr/>
                  </pic:nvPicPr>
                  <pic:blipFill rotWithShape="1">
                    <a:blip r:embed="rId13" cstate="print">
                      <a:extLst>
                        <a:ext uri="{28A0092B-C50C-407E-A947-70E740481C1C}">
                          <a14:useLocalDpi xmlns:a14="http://schemas.microsoft.com/office/drawing/2010/main" val="0"/>
                        </a:ext>
                      </a:extLst>
                    </a:blip>
                    <a:srcRect t="-1" b="1101"/>
                    <a:stretch/>
                  </pic:blipFill>
                  <pic:spPr bwMode="auto">
                    <a:xfrm>
                      <a:off x="0" y="0"/>
                      <a:ext cx="1935720" cy="1750680"/>
                    </a:xfrm>
                    <a:prstGeom prst="rect">
                      <a:avLst/>
                    </a:prstGeom>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0288" behindDoc="0" locked="0" layoutInCell="1" allowOverlap="1" wp14:anchorId="22626EAA" wp14:editId="7F850B8E">
            <wp:simplePos x="0" y="0"/>
            <wp:positionH relativeFrom="column">
              <wp:posOffset>3930073</wp:posOffset>
            </wp:positionH>
            <wp:positionV relativeFrom="paragraph">
              <wp:posOffset>19526</wp:posOffset>
            </wp:positionV>
            <wp:extent cx="1904760" cy="1731240"/>
            <wp:effectExtent l="19050" t="19050" r="19685" b="21590"/>
            <wp:wrapThrough wrapText="bothSides">
              <wp:wrapPolygon edited="0">
                <wp:start x="-216" y="-238"/>
                <wp:lineTo x="-216" y="21632"/>
                <wp:lineTo x="21607" y="21632"/>
                <wp:lineTo x="21607" y="-238"/>
                <wp:lineTo x="-216" y="-238"/>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ik.PNG"/>
                    <pic:cNvPicPr/>
                  </pic:nvPicPr>
                  <pic:blipFill rotWithShape="1">
                    <a:blip r:embed="rId14" cstate="print">
                      <a:extLst>
                        <a:ext uri="{28A0092B-C50C-407E-A947-70E740481C1C}">
                          <a14:useLocalDpi xmlns:a14="http://schemas.microsoft.com/office/drawing/2010/main" val="0"/>
                        </a:ext>
                      </a:extLst>
                    </a:blip>
                    <a:srcRect b="1051"/>
                    <a:stretch/>
                  </pic:blipFill>
                  <pic:spPr bwMode="auto">
                    <a:xfrm>
                      <a:off x="0" y="0"/>
                      <a:ext cx="1904760" cy="1731240"/>
                    </a:xfrm>
                    <a:prstGeom prst="rect">
                      <a:avLst/>
                    </a:prstGeom>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9264" behindDoc="0" locked="0" layoutInCell="1" allowOverlap="1" wp14:anchorId="398D0122" wp14:editId="093B48BC">
            <wp:simplePos x="0" y="0"/>
            <wp:positionH relativeFrom="column">
              <wp:posOffset>2023745</wp:posOffset>
            </wp:positionH>
            <wp:positionV relativeFrom="paragraph">
              <wp:posOffset>19108</wp:posOffset>
            </wp:positionV>
            <wp:extent cx="1910715" cy="1729105"/>
            <wp:effectExtent l="19050" t="19050" r="13335" b="23495"/>
            <wp:wrapThrough wrapText="bothSides">
              <wp:wrapPolygon edited="0">
                <wp:start x="-215" y="-238"/>
                <wp:lineTo x="-215" y="21656"/>
                <wp:lineTo x="21535" y="21656"/>
                <wp:lineTo x="21535" y="-238"/>
                <wp:lineTo x="-215" y="-238"/>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mah ibada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0715" cy="1729105"/>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r w:rsidR="00994142">
        <w:rPr>
          <w:noProof/>
          <w:lang w:eastAsia="zh-CN"/>
        </w:rPr>
        <w:drawing>
          <wp:anchor distT="0" distB="0" distL="114300" distR="114300" simplePos="0" relativeHeight="251658240" behindDoc="0" locked="0" layoutInCell="1" allowOverlap="1" wp14:anchorId="1A1DB5C5" wp14:editId="595F779C">
            <wp:simplePos x="0" y="0"/>
            <wp:positionH relativeFrom="column">
              <wp:posOffset>117475</wp:posOffset>
            </wp:positionH>
            <wp:positionV relativeFrom="paragraph">
              <wp:posOffset>19281</wp:posOffset>
            </wp:positionV>
            <wp:extent cx="1906920" cy="1726200"/>
            <wp:effectExtent l="19050" t="19050" r="17145" b="26670"/>
            <wp:wrapThrough wrapText="bothSides">
              <wp:wrapPolygon edited="0">
                <wp:start x="-216" y="-238"/>
                <wp:lineTo x="-216" y="21695"/>
                <wp:lineTo x="21578" y="21695"/>
                <wp:lineTo x="21578" y="-238"/>
                <wp:lineTo x="-216" y="-238"/>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bodetabek.PNG"/>
                    <pic:cNvPicPr/>
                  </pic:nvPicPr>
                  <pic:blipFill rotWithShape="1">
                    <a:blip r:embed="rId16" cstate="print">
                      <a:extLst>
                        <a:ext uri="{28A0092B-C50C-407E-A947-70E740481C1C}">
                          <a14:useLocalDpi xmlns:a14="http://schemas.microsoft.com/office/drawing/2010/main" val="0"/>
                        </a:ext>
                      </a:extLst>
                    </a:blip>
                    <a:srcRect b="1182"/>
                    <a:stretch/>
                  </pic:blipFill>
                  <pic:spPr bwMode="auto">
                    <a:xfrm>
                      <a:off x="0" y="0"/>
                      <a:ext cx="1906920" cy="1726200"/>
                    </a:xfrm>
                    <a:prstGeom prst="rect">
                      <a:avLst/>
                    </a:prstGeom>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eastAsia="zh-CN"/>
        </w:rPr>
        <w:t xml:space="preserve">          </w:t>
      </w:r>
      <w:r w:rsidR="00F83F96">
        <w:rPr>
          <w:lang w:eastAsia="zh-CN"/>
        </w:rPr>
        <w:t>(b)</w:t>
      </w:r>
      <w:r>
        <w:rPr>
          <w:lang w:eastAsia="zh-CN"/>
        </w:rPr>
        <w:t xml:space="preserve">                                                  </w:t>
      </w:r>
      <w:proofErr w:type="gramStart"/>
      <w:r>
        <w:rPr>
          <w:lang w:eastAsia="zh-CN"/>
        </w:rPr>
        <w:t xml:space="preserve">   </w:t>
      </w:r>
      <w:r>
        <w:rPr>
          <w:lang w:eastAsia="zh-CN"/>
        </w:rPr>
        <w:t>(</w:t>
      </w:r>
      <w:proofErr w:type="gramEnd"/>
      <w:r>
        <w:rPr>
          <w:lang w:eastAsia="zh-CN"/>
        </w:rPr>
        <w:t xml:space="preserve">c)  </w:t>
      </w:r>
    </w:p>
    <w:p w14:paraId="1FAF54A1" w14:textId="17FBF6A2" w:rsidR="0020253B" w:rsidRDefault="0020253B" w:rsidP="00C05E69">
      <w:pPr>
        <w:tabs>
          <w:tab w:val="left" w:pos="6710"/>
        </w:tabs>
        <w:ind w:leftChars="580" w:left="1276"/>
        <w:rPr>
          <w:lang w:eastAsia="zh-CN"/>
        </w:rPr>
      </w:pPr>
      <w:r>
        <w:rPr>
          <w:noProof/>
          <w:lang w:eastAsia="zh-CN"/>
        </w:rPr>
        <w:drawing>
          <wp:anchor distT="0" distB="0" distL="114300" distR="114300" simplePos="0" relativeHeight="251662336" behindDoc="0" locked="0" layoutInCell="1" allowOverlap="1" wp14:anchorId="225FB1E5" wp14:editId="3080AECA">
            <wp:simplePos x="0" y="0"/>
            <wp:positionH relativeFrom="column">
              <wp:posOffset>2024380</wp:posOffset>
            </wp:positionH>
            <wp:positionV relativeFrom="paragraph">
              <wp:posOffset>63327</wp:posOffset>
            </wp:positionV>
            <wp:extent cx="1917720" cy="1749240"/>
            <wp:effectExtent l="19050" t="19050" r="25400" b="22860"/>
            <wp:wrapThrough wrapText="bothSides">
              <wp:wrapPolygon edited="0">
                <wp:start x="-215" y="-235"/>
                <wp:lineTo x="-215" y="21647"/>
                <wp:lineTo x="21672" y="21647"/>
                <wp:lineTo x="21672" y="-235"/>
                <wp:lineTo x="-215" y="-235"/>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sharing.PNG"/>
                    <pic:cNvPicPr/>
                  </pic:nvPicPr>
                  <pic:blipFill rotWithShape="1">
                    <a:blip r:embed="rId17" cstate="print">
                      <a:extLst>
                        <a:ext uri="{28A0092B-C50C-407E-A947-70E740481C1C}">
                          <a14:useLocalDpi xmlns:a14="http://schemas.microsoft.com/office/drawing/2010/main" val="0"/>
                        </a:ext>
                      </a:extLst>
                    </a:blip>
                    <a:srcRect b="1014"/>
                    <a:stretch/>
                  </pic:blipFill>
                  <pic:spPr bwMode="auto">
                    <a:xfrm>
                      <a:off x="0" y="0"/>
                      <a:ext cx="1917720" cy="1749240"/>
                    </a:xfrm>
                    <a:prstGeom prst="rect">
                      <a:avLst/>
                    </a:prstGeom>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F96">
        <w:rPr>
          <w:lang w:eastAsia="zh-CN"/>
        </w:rPr>
        <w:t>(d)</w:t>
      </w:r>
      <w:r w:rsidRPr="0020253B">
        <w:rPr>
          <w:lang w:eastAsia="zh-CN"/>
        </w:rPr>
        <w:t xml:space="preserve"> </w:t>
      </w:r>
      <w:r>
        <w:rPr>
          <w:lang w:eastAsia="zh-CN"/>
        </w:rPr>
        <w:t xml:space="preserve">                                                          </w:t>
      </w:r>
      <w:proofErr w:type="gramStart"/>
      <w:r>
        <w:rPr>
          <w:lang w:eastAsia="zh-CN"/>
        </w:rPr>
        <w:t xml:space="preserve">   </w:t>
      </w:r>
      <w:r>
        <w:rPr>
          <w:lang w:eastAsia="zh-CN"/>
        </w:rPr>
        <w:t>(</w:t>
      </w:r>
      <w:proofErr w:type="gramEnd"/>
      <w:r>
        <w:rPr>
          <w:lang w:eastAsia="zh-CN"/>
        </w:rPr>
        <w:t>e)</w:t>
      </w:r>
      <w:r w:rsidRPr="0020253B">
        <w:rPr>
          <w:lang w:eastAsia="zh-CN"/>
        </w:rPr>
        <w:t xml:space="preserve"> </w:t>
      </w:r>
      <w:r>
        <w:rPr>
          <w:lang w:eastAsia="zh-CN"/>
        </w:rPr>
        <w:t xml:space="preserve">                                                    </w:t>
      </w:r>
      <w:r>
        <w:rPr>
          <w:lang w:eastAsia="zh-CN"/>
        </w:rPr>
        <w:t>(f)</w:t>
      </w:r>
    </w:p>
    <w:p w14:paraId="6D4AE0BC" w14:textId="7BBA2D6E" w:rsidR="0020253B" w:rsidRDefault="0020253B" w:rsidP="0020253B">
      <w:pPr>
        <w:pStyle w:val="Caption"/>
        <w:ind w:leftChars="64" w:left="141"/>
        <w:jc w:val="center"/>
        <w:rPr>
          <w:rFonts w:ascii="Times New Roman" w:hAnsi="Times New Roman" w:cs="Times New Roman"/>
        </w:rPr>
      </w:pPr>
      <w:r w:rsidRPr="001A49B5">
        <w:rPr>
          <w:rFonts w:ascii="Times New Roman" w:hAnsi="Times New Roman" w:cs="Times New Roman"/>
        </w:rPr>
        <w:t xml:space="preserve">Figure </w:t>
      </w:r>
      <w:r w:rsidRPr="001A49B5">
        <w:rPr>
          <w:rFonts w:ascii="Times New Roman" w:hAnsi="Times New Roman" w:cs="Times New Roman"/>
        </w:rPr>
        <w:fldChar w:fldCharType="begin"/>
      </w:r>
      <w:r w:rsidRPr="001A49B5">
        <w:rPr>
          <w:rFonts w:ascii="Times New Roman" w:hAnsi="Times New Roman" w:cs="Times New Roman"/>
        </w:rPr>
        <w:instrText xml:space="preserve"> SEQ Figure \* ARABIC </w:instrText>
      </w:r>
      <w:r w:rsidRPr="001A49B5">
        <w:rPr>
          <w:rFonts w:ascii="Times New Roman" w:hAnsi="Times New Roman" w:cs="Times New Roman"/>
        </w:rPr>
        <w:fldChar w:fldCharType="separate"/>
      </w:r>
      <w:r w:rsidR="00163130">
        <w:rPr>
          <w:rFonts w:ascii="Times New Roman" w:hAnsi="Times New Roman" w:cs="Times New Roman"/>
          <w:noProof/>
        </w:rPr>
        <w:t>1</w:t>
      </w:r>
      <w:r w:rsidRPr="001A49B5">
        <w:rPr>
          <w:rFonts w:ascii="Times New Roman" w:hAnsi="Times New Roman" w:cs="Times New Roman"/>
        </w:rPr>
        <w:fldChar w:fldCharType="end"/>
      </w:r>
      <w:r>
        <w:rPr>
          <w:rFonts w:ascii="Times New Roman" w:hAnsi="Times New Roman" w:cs="Times New Roman"/>
        </w:rPr>
        <w:t xml:space="preserve">  (a) Jakarta Greater Area Map, (b) Worship Point, (c) Traffic Point, (d) Transport Point, (e) Bike Sharing Point, (f) Public Transportation Point</w:t>
      </w:r>
    </w:p>
    <w:p w14:paraId="5B955DC0" w14:textId="125286AF" w:rsidR="002C0333" w:rsidRDefault="002C0333" w:rsidP="00C05E69">
      <w:pPr>
        <w:tabs>
          <w:tab w:val="left" w:pos="6710"/>
        </w:tabs>
        <w:rPr>
          <w:lang w:eastAsia="zh-CN"/>
        </w:rPr>
      </w:pPr>
    </w:p>
    <w:p w14:paraId="7C15CBE8" w14:textId="54391C3B" w:rsidR="00481476" w:rsidRDefault="00481476" w:rsidP="00481476">
      <w:pPr>
        <w:pStyle w:val="Heading1"/>
        <w:spacing w:line="275" w:lineRule="exact"/>
        <w:ind w:leftChars="64" w:left="141" w:firstLine="0"/>
        <w:jc w:val="both"/>
        <w:rPr>
          <w:b w:val="0"/>
          <w:spacing w:val="-1"/>
        </w:rPr>
      </w:pPr>
      <w:r>
        <w:rPr>
          <w:b w:val="0"/>
          <w:spacing w:val="-1"/>
        </w:rPr>
        <w:t xml:space="preserve">The first stage is preparing data for </w:t>
      </w:r>
      <w:r w:rsidR="0020253B">
        <w:rPr>
          <w:b w:val="0"/>
          <w:spacing w:val="-1"/>
        </w:rPr>
        <w:t>Jakarta Greater Area</w:t>
      </w:r>
      <w:r>
        <w:rPr>
          <w:b w:val="0"/>
          <w:spacing w:val="-1"/>
        </w:rPr>
        <w:t xml:space="preserve"> maps, public facilities in the form of POI’s (Point of Interest), and geocoding for bike</w:t>
      </w:r>
      <w:r w:rsidR="0020253B">
        <w:rPr>
          <w:b w:val="0"/>
          <w:spacing w:val="-1"/>
        </w:rPr>
        <w:t>-</w:t>
      </w:r>
      <w:r>
        <w:rPr>
          <w:b w:val="0"/>
          <w:spacing w:val="-1"/>
        </w:rPr>
        <w:t xml:space="preserve">sharing facilities in </w:t>
      </w:r>
      <w:r w:rsidR="0020253B">
        <w:rPr>
          <w:b w:val="0"/>
          <w:spacing w:val="-1"/>
        </w:rPr>
        <w:t>Jakarta Greater</w:t>
      </w:r>
      <w:r>
        <w:rPr>
          <w:b w:val="0"/>
          <w:spacing w:val="-1"/>
        </w:rPr>
        <w:t xml:space="preserve"> area. The raw data of </w:t>
      </w:r>
      <w:r w:rsidR="0020253B">
        <w:rPr>
          <w:b w:val="0"/>
          <w:spacing w:val="-1"/>
        </w:rPr>
        <w:t>the Jakarta Greater Area</w:t>
      </w:r>
      <w:r>
        <w:rPr>
          <w:b w:val="0"/>
          <w:spacing w:val="-1"/>
        </w:rPr>
        <w:t xml:space="preserve"> map is processed and visualized using the QGIS software. </w:t>
      </w:r>
      <w:r w:rsidR="0020253B">
        <w:rPr>
          <w:b w:val="0"/>
          <w:spacing w:val="-1"/>
        </w:rPr>
        <w:t>The f</w:t>
      </w:r>
      <w:r>
        <w:rPr>
          <w:b w:val="0"/>
          <w:spacing w:val="-1"/>
        </w:rPr>
        <w:t xml:space="preserve">irst step, input the layer of North Jakarta map, South Jakarta map, West Jakarta map, East Jakarta map, Center Jakarta map, Bekasi City map, Bekasi district map, Bogor city map, Bogor district map, Depok map, Tangerang city map, South of Tangerang city map, and Tangerang district map become a </w:t>
      </w:r>
      <w:r w:rsidR="0020253B">
        <w:rPr>
          <w:b w:val="0"/>
          <w:spacing w:val="-1"/>
        </w:rPr>
        <w:t>Jakarta Greater Area</w:t>
      </w:r>
      <w:r>
        <w:rPr>
          <w:b w:val="0"/>
          <w:spacing w:val="-1"/>
        </w:rPr>
        <w:t xml:space="preserve"> map (</w:t>
      </w:r>
      <w:hyperlink r:id="rId18" w:history="1">
        <w:r>
          <w:rPr>
            <w:rStyle w:val="Hyperlink"/>
            <w:b w:val="0"/>
            <w:spacing w:val="-1"/>
          </w:rPr>
          <w:t>www.tanahair.indonesia.go.id/portal-web</w:t>
        </w:r>
      </w:hyperlink>
      <w:r>
        <w:rPr>
          <w:b w:val="0"/>
          <w:spacing w:val="-1"/>
        </w:rPr>
        <w:t xml:space="preserve">). After merging the entire map with the merged method in QGIS, the next step is to </w:t>
      </w:r>
      <w:proofErr w:type="gramStart"/>
      <w:r>
        <w:rPr>
          <w:b w:val="0"/>
          <w:spacing w:val="-1"/>
        </w:rPr>
        <w:t>clipped</w:t>
      </w:r>
      <w:proofErr w:type="gramEnd"/>
      <w:r>
        <w:rPr>
          <w:b w:val="0"/>
          <w:spacing w:val="-1"/>
        </w:rPr>
        <w:t xml:space="preserve"> between POI public facilities and the </w:t>
      </w:r>
      <w:r w:rsidR="0020253B">
        <w:rPr>
          <w:b w:val="0"/>
          <w:spacing w:val="-1"/>
        </w:rPr>
        <w:t>Jakarta Greater Area</w:t>
      </w:r>
      <w:r>
        <w:rPr>
          <w:b w:val="0"/>
          <w:spacing w:val="-1"/>
        </w:rPr>
        <w:t xml:space="preserve"> map. The POI facilities are obtained from OpenStreetMap (</w:t>
      </w:r>
      <w:hyperlink r:id="rId19" w:history="1">
        <w:r>
          <w:rPr>
            <w:rStyle w:val="Hyperlink"/>
            <w:b w:val="0"/>
            <w:spacing w:val="-1"/>
          </w:rPr>
          <w:t>www.openstreetmap.id</w:t>
        </w:r>
      </w:hyperlink>
      <w:r>
        <w:rPr>
          <w:b w:val="0"/>
          <w:spacing w:val="-1"/>
        </w:rPr>
        <w:t xml:space="preserve">). Clipped facilities consist of public facilities, transportation, traffic, and places of worship. Processed public facilities have been grouped based on </w:t>
      </w:r>
      <w:r w:rsidR="0020253B">
        <w:rPr>
          <w:b w:val="0"/>
          <w:spacing w:val="-1"/>
        </w:rPr>
        <w:t xml:space="preserve">the </w:t>
      </w:r>
      <w:r>
        <w:rPr>
          <w:b w:val="0"/>
          <w:spacing w:val="-1"/>
        </w:rPr>
        <w:t xml:space="preserve">literature review into major and minor attributes. The next step </w:t>
      </w:r>
      <w:r w:rsidR="0020253B">
        <w:rPr>
          <w:b w:val="0"/>
          <w:spacing w:val="-1"/>
        </w:rPr>
        <w:t>was</w:t>
      </w:r>
      <w:r>
        <w:rPr>
          <w:b w:val="0"/>
          <w:spacing w:val="-1"/>
        </w:rPr>
        <w:t xml:space="preserve"> </w:t>
      </w:r>
      <w:r w:rsidR="0020253B">
        <w:rPr>
          <w:b w:val="0"/>
          <w:spacing w:val="-1"/>
        </w:rPr>
        <w:t xml:space="preserve">to </w:t>
      </w:r>
      <w:r>
        <w:rPr>
          <w:b w:val="0"/>
          <w:spacing w:val="-1"/>
        </w:rPr>
        <w:t xml:space="preserve">input </w:t>
      </w:r>
      <w:r w:rsidR="0020253B">
        <w:rPr>
          <w:b w:val="0"/>
          <w:spacing w:val="-1"/>
        </w:rPr>
        <w:t xml:space="preserve">a </w:t>
      </w:r>
      <w:r>
        <w:rPr>
          <w:b w:val="0"/>
          <w:spacing w:val="-1"/>
        </w:rPr>
        <w:t>new layer of geocoding of bike</w:t>
      </w:r>
      <w:r w:rsidR="0020253B">
        <w:rPr>
          <w:b w:val="0"/>
          <w:spacing w:val="-1"/>
        </w:rPr>
        <w:t>-</w:t>
      </w:r>
      <w:r>
        <w:rPr>
          <w:b w:val="0"/>
          <w:spacing w:val="-1"/>
        </w:rPr>
        <w:t xml:space="preserve">sharing facilities in </w:t>
      </w:r>
      <w:r w:rsidR="0020253B">
        <w:rPr>
          <w:b w:val="0"/>
          <w:spacing w:val="-1"/>
        </w:rPr>
        <w:t>Jakarta Greater Area</w:t>
      </w:r>
      <w:r>
        <w:rPr>
          <w:b w:val="0"/>
          <w:spacing w:val="-1"/>
        </w:rPr>
        <w:t xml:space="preserve">, then clipped it with </w:t>
      </w:r>
      <w:r w:rsidR="0020253B">
        <w:rPr>
          <w:b w:val="0"/>
          <w:spacing w:val="-1"/>
        </w:rPr>
        <w:t>Jakarta Greater Area</w:t>
      </w:r>
      <w:r>
        <w:rPr>
          <w:b w:val="0"/>
          <w:spacing w:val="-1"/>
        </w:rPr>
        <w:t xml:space="preserve"> map. The clipped results in </w:t>
      </w:r>
      <w:r>
        <w:rPr>
          <w:spacing w:val="-1"/>
        </w:rPr>
        <w:t>Figure 1</w:t>
      </w:r>
      <w:r>
        <w:rPr>
          <w:b w:val="0"/>
          <w:spacing w:val="-1"/>
        </w:rPr>
        <w:t xml:space="preserve">. from each facility will show a new layer </w:t>
      </w:r>
      <w:r w:rsidR="0020253B">
        <w:rPr>
          <w:b w:val="0"/>
          <w:spacing w:val="-1"/>
        </w:rPr>
        <w:t>o</w:t>
      </w:r>
      <w:r>
        <w:rPr>
          <w:b w:val="0"/>
          <w:spacing w:val="-1"/>
        </w:rPr>
        <w:t xml:space="preserve">n the map. These layers will be used to be processed into PostgreSQL and analyzed using spatial proximity analysis techniques. </w:t>
      </w:r>
    </w:p>
    <w:p w14:paraId="4E59327A" w14:textId="11DDEF6D" w:rsidR="00687CB5" w:rsidRDefault="0088594F" w:rsidP="00D23533">
      <w:pPr>
        <w:ind w:leftChars="64" w:left="141"/>
        <w:jc w:val="both"/>
        <w:rPr>
          <w:rFonts w:ascii="Times New Roman" w:hAnsi="Times New Roman" w:cs="Times New Roman"/>
          <w:sz w:val="24"/>
          <w:szCs w:val="24"/>
        </w:rPr>
      </w:pPr>
      <w:r>
        <w:rPr>
          <w:rFonts w:ascii="Times New Roman" w:hAnsi="Times New Roman" w:cs="Times New Roman"/>
          <w:sz w:val="24"/>
          <w:szCs w:val="24"/>
        </w:rPr>
        <w:t xml:space="preserve">After the layers already finished processing using QGIS, </w:t>
      </w:r>
      <w:r w:rsidR="00C53878">
        <w:rPr>
          <w:rFonts w:ascii="Times New Roman" w:hAnsi="Times New Roman" w:cs="Times New Roman"/>
          <w:sz w:val="24"/>
          <w:szCs w:val="24"/>
        </w:rPr>
        <w:t xml:space="preserve">the </w:t>
      </w:r>
      <w:r>
        <w:rPr>
          <w:rFonts w:ascii="Times New Roman" w:hAnsi="Times New Roman" w:cs="Times New Roman"/>
          <w:sz w:val="24"/>
          <w:szCs w:val="24"/>
        </w:rPr>
        <w:t xml:space="preserve">next step is </w:t>
      </w:r>
      <w:r w:rsidR="00C53878">
        <w:rPr>
          <w:rFonts w:ascii="Times New Roman" w:hAnsi="Times New Roman" w:cs="Times New Roman"/>
          <w:sz w:val="24"/>
          <w:szCs w:val="24"/>
        </w:rPr>
        <w:t xml:space="preserve">to </w:t>
      </w:r>
      <w:r>
        <w:rPr>
          <w:rFonts w:ascii="Times New Roman" w:hAnsi="Times New Roman" w:cs="Times New Roman"/>
          <w:sz w:val="24"/>
          <w:szCs w:val="24"/>
        </w:rPr>
        <w:t xml:space="preserve">perform </w:t>
      </w:r>
      <w:r w:rsidR="00C53878">
        <w:rPr>
          <w:rFonts w:ascii="Times New Roman" w:hAnsi="Times New Roman" w:cs="Times New Roman"/>
          <w:sz w:val="24"/>
          <w:szCs w:val="24"/>
        </w:rPr>
        <w:t xml:space="preserve">a </w:t>
      </w:r>
      <w:r>
        <w:rPr>
          <w:rFonts w:ascii="Times New Roman" w:hAnsi="Times New Roman" w:cs="Times New Roman"/>
          <w:sz w:val="24"/>
          <w:szCs w:val="24"/>
        </w:rPr>
        <w:t xml:space="preserve">query using PostgreSQL with </w:t>
      </w:r>
      <w:proofErr w:type="spellStart"/>
      <w:r>
        <w:rPr>
          <w:rFonts w:ascii="Times New Roman" w:hAnsi="Times New Roman" w:cs="Times New Roman"/>
          <w:sz w:val="24"/>
          <w:szCs w:val="24"/>
        </w:rPr>
        <w:t>PostGIS</w:t>
      </w:r>
      <w:proofErr w:type="spellEnd"/>
      <w:r>
        <w:rPr>
          <w:rFonts w:ascii="Times New Roman" w:hAnsi="Times New Roman" w:cs="Times New Roman"/>
          <w:sz w:val="24"/>
          <w:szCs w:val="24"/>
        </w:rPr>
        <w:t xml:space="preserve">. These layers </w:t>
      </w:r>
      <w:r w:rsidR="00C53878">
        <w:rPr>
          <w:rFonts w:ascii="Times New Roman" w:hAnsi="Times New Roman" w:cs="Times New Roman"/>
          <w:sz w:val="24"/>
          <w:szCs w:val="24"/>
        </w:rPr>
        <w:t xml:space="preserve">form </w:t>
      </w:r>
      <w:r>
        <w:rPr>
          <w:rFonts w:ascii="Times New Roman" w:hAnsi="Times New Roman" w:cs="Times New Roman"/>
          <w:sz w:val="24"/>
          <w:szCs w:val="24"/>
        </w:rPr>
        <w:t xml:space="preserve">QGIS are imported to PostgreSQL using </w:t>
      </w:r>
      <w:proofErr w:type="spellStart"/>
      <w:r>
        <w:rPr>
          <w:rFonts w:ascii="Times New Roman" w:hAnsi="Times New Roman" w:cs="Times New Roman"/>
          <w:sz w:val="24"/>
          <w:szCs w:val="24"/>
        </w:rPr>
        <w:t>PostGIS</w:t>
      </w:r>
      <w:proofErr w:type="spellEnd"/>
      <w:r>
        <w:rPr>
          <w:rFonts w:ascii="Times New Roman" w:hAnsi="Times New Roman" w:cs="Times New Roman"/>
          <w:sz w:val="24"/>
          <w:szCs w:val="24"/>
        </w:rPr>
        <w:t xml:space="preserve"> software. Previously, it was necessary to prepare a database for storing files to be uploaded to PostgreSQL. Before importing into </w:t>
      </w:r>
      <w:proofErr w:type="spellStart"/>
      <w:r>
        <w:rPr>
          <w:rFonts w:ascii="Times New Roman" w:hAnsi="Times New Roman" w:cs="Times New Roman"/>
          <w:sz w:val="24"/>
          <w:szCs w:val="24"/>
        </w:rPr>
        <w:t>PostGIS</w:t>
      </w:r>
      <w:proofErr w:type="spellEnd"/>
      <w:r>
        <w:rPr>
          <w:rFonts w:ascii="Times New Roman" w:hAnsi="Times New Roman" w:cs="Times New Roman"/>
          <w:sz w:val="24"/>
          <w:szCs w:val="24"/>
        </w:rPr>
        <w:t>, the CRS (Coordinate Reference Systems) value of the layer must be changed from WGS 84 to UTM Zone 48S via QGIS. Then the SRID value for all layers is changed to 32748 before importing into PostgreSQL. After the modification is complete, import the data into the PostgreSQL database.</w:t>
      </w:r>
    </w:p>
    <w:p w14:paraId="4EF24797" w14:textId="36FE3DEC" w:rsidR="00687CB5" w:rsidRDefault="0088594F" w:rsidP="00D23533">
      <w:pPr>
        <w:ind w:leftChars="64" w:left="141"/>
        <w:jc w:val="both"/>
        <w:rPr>
          <w:rFonts w:ascii="Times New Roman" w:hAnsi="Times New Roman" w:cs="Times New Roman"/>
          <w:sz w:val="24"/>
          <w:szCs w:val="24"/>
        </w:rPr>
      </w:pPr>
      <w:r>
        <w:rPr>
          <w:rFonts w:ascii="Times New Roman" w:hAnsi="Times New Roman" w:cs="Times New Roman"/>
          <w:sz w:val="24"/>
          <w:szCs w:val="24"/>
        </w:rPr>
        <w:t xml:space="preserve">Layer data that has been imported into PostgreSQL will be turned into a table. Furthermore, analyzing the proximity relationship between 2 facilities in the major attribute. The major </w:t>
      </w:r>
      <w:r>
        <w:rPr>
          <w:rFonts w:ascii="Times New Roman" w:hAnsi="Times New Roman" w:cs="Times New Roman"/>
          <w:sz w:val="24"/>
          <w:szCs w:val="24"/>
        </w:rPr>
        <w:lastRenderedPageBreak/>
        <w:t xml:space="preserve">attribute table is divided into 6 types according to the literature, later each facility will be combined with public transportation facilities to analyze the proximity relationship between 2 facilities within a predetermined distance. The distance measures range from 1 </w:t>
      </w:r>
      <w:r w:rsidR="0020253B">
        <w:rPr>
          <w:rFonts w:ascii="Times New Roman" w:hAnsi="Times New Roman" w:cs="Times New Roman"/>
          <w:sz w:val="24"/>
          <w:szCs w:val="24"/>
        </w:rPr>
        <w:t>to 10 km</w:t>
      </w:r>
      <w:r>
        <w:rPr>
          <w:rFonts w:ascii="Times New Roman" w:hAnsi="Times New Roman" w:cs="Times New Roman"/>
          <w:sz w:val="24"/>
          <w:szCs w:val="24"/>
        </w:rPr>
        <w:t xml:space="preserve">. Queries used in PostgreSQL use the </w:t>
      </w:r>
      <w:proofErr w:type="spellStart"/>
      <w:r>
        <w:rPr>
          <w:rFonts w:ascii="Times New Roman" w:hAnsi="Times New Roman" w:cs="Times New Roman"/>
          <w:sz w:val="24"/>
          <w:szCs w:val="24"/>
        </w:rPr>
        <w:t>ST_Distance</w:t>
      </w:r>
      <w:proofErr w:type="spellEnd"/>
      <w:r>
        <w:rPr>
          <w:rFonts w:ascii="Times New Roman" w:hAnsi="Times New Roman" w:cs="Times New Roman"/>
          <w:sz w:val="24"/>
          <w:szCs w:val="24"/>
        </w:rPr>
        <w:t xml:space="preserve"> function provided in PostgreSQL. This distance division is done to calculate the probability of an attribute interacting with other attributes within </w:t>
      </w:r>
      <w:proofErr w:type="gramStart"/>
      <w:r>
        <w:rPr>
          <w:rFonts w:ascii="Times New Roman" w:hAnsi="Times New Roman" w:cs="Times New Roman"/>
          <w:sz w:val="24"/>
          <w:szCs w:val="24"/>
        </w:rPr>
        <w:t>a distance of 1</w:t>
      </w:r>
      <w:proofErr w:type="gramEnd"/>
      <w:r>
        <w:rPr>
          <w:rFonts w:ascii="Times New Roman" w:hAnsi="Times New Roman" w:cs="Times New Roman"/>
          <w:sz w:val="24"/>
          <w:szCs w:val="24"/>
        </w:rPr>
        <w:t xml:space="preserve"> </w:t>
      </w:r>
      <w:r w:rsidR="0020253B">
        <w:rPr>
          <w:rFonts w:ascii="Times New Roman" w:hAnsi="Times New Roman" w:cs="Times New Roman"/>
          <w:sz w:val="24"/>
          <w:szCs w:val="24"/>
        </w:rPr>
        <w:t>km</w:t>
      </w:r>
      <w:r>
        <w:rPr>
          <w:rFonts w:ascii="Times New Roman" w:hAnsi="Times New Roman" w:cs="Times New Roman"/>
          <w:sz w:val="24"/>
          <w:szCs w:val="24"/>
        </w:rPr>
        <w:t xml:space="preserve"> to 10 </w:t>
      </w:r>
      <w:r w:rsidR="0020253B">
        <w:rPr>
          <w:rFonts w:ascii="Times New Roman" w:hAnsi="Times New Roman" w:cs="Times New Roman"/>
          <w:sz w:val="24"/>
          <w:szCs w:val="24"/>
        </w:rPr>
        <w:t>km</w:t>
      </w:r>
      <w:r>
        <w:rPr>
          <w:rFonts w:ascii="Times New Roman" w:hAnsi="Times New Roman" w:cs="Times New Roman"/>
          <w:sz w:val="24"/>
          <w:szCs w:val="24"/>
        </w:rPr>
        <w:t xml:space="preserve">. The wider the specified distance, the greater the probability of the attributes meeting each other. </w:t>
      </w:r>
    </w:p>
    <w:p w14:paraId="7EBB8235" w14:textId="5504435B" w:rsidR="0020253B" w:rsidRDefault="0088594F" w:rsidP="0020253B">
      <w:pPr>
        <w:ind w:leftChars="64" w:left="141"/>
        <w:jc w:val="both"/>
        <w:rPr>
          <w:rFonts w:ascii="Times New Roman" w:hAnsi="Times New Roman" w:cs="Times New Roman"/>
          <w:sz w:val="24"/>
          <w:szCs w:val="24"/>
        </w:rPr>
      </w:pPr>
      <w:r>
        <w:rPr>
          <w:rFonts w:ascii="Times New Roman" w:hAnsi="Times New Roman" w:cs="Times New Roman"/>
          <w:sz w:val="24"/>
          <w:szCs w:val="24"/>
        </w:rPr>
        <w:t>For each major attribute tables between 2 facilities that have been made, the number of facilities that interact with each other is calculated with a predetermined dista</w:t>
      </w:r>
      <w:r w:rsidR="003A7517">
        <w:rPr>
          <w:rFonts w:ascii="Times New Roman" w:hAnsi="Times New Roman" w:cs="Times New Roman"/>
          <w:sz w:val="24"/>
          <w:szCs w:val="24"/>
        </w:rPr>
        <w:t xml:space="preserve">nce. For </w:t>
      </w:r>
      <w:proofErr w:type="gramStart"/>
      <w:r w:rsidR="003A7517">
        <w:rPr>
          <w:rFonts w:ascii="Times New Roman" w:hAnsi="Times New Roman" w:cs="Times New Roman"/>
          <w:sz w:val="24"/>
          <w:szCs w:val="24"/>
        </w:rPr>
        <w:t>example</w:t>
      </w:r>
      <w:proofErr w:type="gramEnd"/>
      <w:r w:rsidR="003A7517">
        <w:rPr>
          <w:rFonts w:ascii="Times New Roman" w:hAnsi="Times New Roman" w:cs="Times New Roman"/>
          <w:sz w:val="24"/>
          <w:szCs w:val="24"/>
        </w:rPr>
        <w:t xml:space="preserve"> in 1 </w:t>
      </w:r>
      <w:r w:rsidR="0020253B">
        <w:rPr>
          <w:rFonts w:ascii="Times New Roman" w:hAnsi="Times New Roman" w:cs="Times New Roman"/>
          <w:sz w:val="24"/>
          <w:szCs w:val="24"/>
        </w:rPr>
        <w:t>km</w:t>
      </w:r>
      <w:r>
        <w:rPr>
          <w:rFonts w:ascii="Times New Roman" w:hAnsi="Times New Roman" w:cs="Times New Roman"/>
          <w:sz w:val="24"/>
          <w:szCs w:val="24"/>
        </w:rPr>
        <w:t xml:space="preserve">, public facility and park and </w:t>
      </w:r>
      <w:r w:rsidR="0020253B">
        <w:rPr>
          <w:rFonts w:ascii="Times New Roman" w:hAnsi="Times New Roman" w:cs="Times New Roman"/>
          <w:sz w:val="24"/>
          <w:szCs w:val="24"/>
        </w:rPr>
        <w:t xml:space="preserve">the </w:t>
      </w:r>
      <w:r>
        <w:rPr>
          <w:rFonts w:ascii="Times New Roman" w:hAnsi="Times New Roman" w:cs="Times New Roman"/>
          <w:sz w:val="24"/>
          <w:szCs w:val="24"/>
        </w:rPr>
        <w:t xml:space="preserve">green area </w:t>
      </w:r>
      <w:r w:rsidR="0020253B">
        <w:rPr>
          <w:rFonts w:ascii="Times New Roman" w:hAnsi="Times New Roman" w:cs="Times New Roman"/>
          <w:sz w:val="24"/>
          <w:szCs w:val="24"/>
        </w:rPr>
        <w:t>ha</w:t>
      </w:r>
      <w:r w:rsidR="0020253B">
        <w:rPr>
          <w:rFonts w:ascii="Times New Roman" w:hAnsi="Times New Roman" w:cs="Times New Roman"/>
          <w:sz w:val="24"/>
          <w:szCs w:val="24"/>
        </w:rPr>
        <w:t>ve</w:t>
      </w:r>
      <w:r w:rsidR="0020253B">
        <w:rPr>
          <w:rFonts w:ascii="Times New Roman" w:hAnsi="Times New Roman" w:cs="Times New Roman"/>
          <w:sz w:val="24"/>
          <w:szCs w:val="24"/>
        </w:rPr>
        <w:t xml:space="preserve"> </w:t>
      </w:r>
      <w:r>
        <w:rPr>
          <w:rFonts w:ascii="Times New Roman" w:hAnsi="Times New Roman" w:cs="Times New Roman"/>
          <w:sz w:val="24"/>
          <w:szCs w:val="24"/>
        </w:rPr>
        <w:t xml:space="preserve">157 </w:t>
      </w:r>
      <w:r w:rsidR="003A7517">
        <w:rPr>
          <w:rFonts w:ascii="Times New Roman" w:hAnsi="Times New Roman" w:cs="Times New Roman"/>
          <w:sz w:val="24"/>
          <w:szCs w:val="24"/>
        </w:rPr>
        <w:t>numbers</w:t>
      </w:r>
      <w:r>
        <w:rPr>
          <w:rFonts w:ascii="Times New Roman" w:hAnsi="Times New Roman" w:cs="Times New Roman"/>
          <w:sz w:val="24"/>
          <w:szCs w:val="24"/>
        </w:rPr>
        <w:t xml:space="preserve"> of facilities that are close to each other. At </w:t>
      </w:r>
      <w:proofErr w:type="gramStart"/>
      <w:r>
        <w:rPr>
          <w:rFonts w:ascii="Times New Roman" w:hAnsi="Times New Roman" w:cs="Times New Roman"/>
          <w:sz w:val="24"/>
          <w:szCs w:val="24"/>
        </w:rPr>
        <w:t>a distance of 1</w:t>
      </w:r>
      <w:proofErr w:type="gramEnd"/>
      <w:r>
        <w:rPr>
          <w:rFonts w:ascii="Times New Roman" w:hAnsi="Times New Roman" w:cs="Times New Roman"/>
          <w:sz w:val="24"/>
          <w:szCs w:val="24"/>
        </w:rPr>
        <w:t xml:space="preserve"> </w:t>
      </w:r>
      <w:r w:rsidR="0020253B">
        <w:rPr>
          <w:rFonts w:ascii="Times New Roman" w:hAnsi="Times New Roman" w:cs="Times New Roman"/>
          <w:sz w:val="24"/>
          <w:szCs w:val="24"/>
        </w:rPr>
        <w:t>km</w:t>
      </w:r>
      <w:r>
        <w:rPr>
          <w:rFonts w:ascii="Times New Roman" w:hAnsi="Times New Roman" w:cs="Times New Roman"/>
          <w:sz w:val="24"/>
          <w:szCs w:val="24"/>
        </w:rPr>
        <w:t xml:space="preserve">, transportation facilities and commercial and office area facilities have the largest number of facilities close to each other, namely 44,008 facilities. This indicates that transportation facilities are closely related to commercial and office areas. Meanwhile, public transportation and hospital facilities are the facilities with the least interaction within 1 </w:t>
      </w:r>
      <w:r w:rsidR="0020253B">
        <w:rPr>
          <w:rFonts w:ascii="Times New Roman" w:hAnsi="Times New Roman" w:cs="Times New Roman"/>
          <w:sz w:val="24"/>
          <w:szCs w:val="24"/>
        </w:rPr>
        <w:t>km</w:t>
      </w:r>
      <w:r>
        <w:rPr>
          <w:rFonts w:ascii="Times New Roman" w:hAnsi="Times New Roman" w:cs="Times New Roman"/>
          <w:sz w:val="24"/>
          <w:szCs w:val="24"/>
        </w:rPr>
        <w:t xml:space="preserve"> with a total of 345 facilities. The overall results can be seen in </w:t>
      </w:r>
      <w:r w:rsidR="002A2313" w:rsidRPr="002A2313">
        <w:rPr>
          <w:rFonts w:ascii="Times New Roman" w:hAnsi="Times New Roman" w:cs="Times New Roman"/>
          <w:b/>
          <w:sz w:val="24"/>
          <w:szCs w:val="24"/>
        </w:rPr>
        <w:t xml:space="preserve">Figure </w:t>
      </w:r>
      <w:r w:rsidR="0020253B">
        <w:rPr>
          <w:rFonts w:ascii="Times New Roman" w:hAnsi="Times New Roman" w:cs="Times New Roman"/>
          <w:b/>
          <w:sz w:val="24"/>
          <w:szCs w:val="24"/>
        </w:rPr>
        <w:t>2</w:t>
      </w:r>
      <w:r>
        <w:rPr>
          <w:rFonts w:ascii="Times New Roman" w:hAnsi="Times New Roman" w:cs="Times New Roman"/>
          <w:sz w:val="24"/>
          <w:szCs w:val="24"/>
        </w:rPr>
        <w:t>.</w:t>
      </w:r>
      <w:r w:rsidR="0020253B">
        <w:rPr>
          <w:rFonts w:ascii="Times New Roman" w:hAnsi="Times New Roman" w:cs="Times New Roman"/>
          <w:sz w:val="24"/>
          <w:szCs w:val="24"/>
        </w:rPr>
        <w:t xml:space="preserve"> </w:t>
      </w:r>
      <w:r w:rsidR="0020253B">
        <w:rPr>
          <w:rFonts w:ascii="Times New Roman" w:hAnsi="Times New Roman" w:cs="Times New Roman"/>
          <w:sz w:val="24"/>
          <w:szCs w:val="24"/>
        </w:rPr>
        <w:t>The n</w:t>
      </w:r>
      <w:r w:rsidR="0020253B">
        <w:rPr>
          <w:rFonts w:ascii="Times New Roman" w:hAnsi="Times New Roman" w:cs="Times New Roman"/>
          <w:sz w:val="24"/>
          <w:szCs w:val="24"/>
        </w:rPr>
        <w:t xml:space="preserve">ext step is to calculate the value of PR (Participation Ratio) and PI (Participation Index) for the facilities. The PR value is divided into 2, namely the PR value for facility A and facility B. Facility A combined with facility B will be calculated the PR value to determine the percentage of proximity between facility A to facility B and vice versa. For example, in Table 3, </w:t>
      </w:r>
      <w:r w:rsidR="0020253B">
        <w:rPr>
          <w:rFonts w:ascii="Times New Roman" w:hAnsi="Times New Roman" w:cs="Times New Roman"/>
          <w:sz w:val="24"/>
          <w:szCs w:val="24"/>
        </w:rPr>
        <w:t xml:space="preserve">the </w:t>
      </w:r>
      <w:r w:rsidR="0020253B">
        <w:rPr>
          <w:rFonts w:ascii="Times New Roman" w:hAnsi="Times New Roman" w:cs="Times New Roman"/>
          <w:sz w:val="24"/>
          <w:szCs w:val="24"/>
        </w:rPr>
        <w:t xml:space="preserve">major attribute for facility A is </w:t>
      </w:r>
      <w:r w:rsidR="0020253B">
        <w:rPr>
          <w:rFonts w:ascii="Times New Roman" w:hAnsi="Times New Roman" w:cs="Times New Roman"/>
          <w:sz w:val="24"/>
          <w:szCs w:val="24"/>
        </w:rPr>
        <w:t xml:space="preserve">a </w:t>
      </w:r>
      <w:r w:rsidR="0020253B">
        <w:rPr>
          <w:rFonts w:ascii="Times New Roman" w:hAnsi="Times New Roman" w:cs="Times New Roman"/>
          <w:sz w:val="24"/>
          <w:szCs w:val="24"/>
        </w:rPr>
        <w:t xml:space="preserve">residential area and </w:t>
      </w:r>
      <w:r w:rsidR="0020253B">
        <w:rPr>
          <w:rFonts w:ascii="Times New Roman" w:hAnsi="Times New Roman" w:cs="Times New Roman"/>
          <w:sz w:val="24"/>
          <w:szCs w:val="24"/>
        </w:rPr>
        <w:t xml:space="preserve">the </w:t>
      </w:r>
      <w:r w:rsidR="0020253B">
        <w:rPr>
          <w:rFonts w:ascii="Times New Roman" w:hAnsi="Times New Roman" w:cs="Times New Roman"/>
          <w:sz w:val="24"/>
          <w:szCs w:val="24"/>
        </w:rPr>
        <w:t xml:space="preserve">major attribute for facility B is public transportation, and the distance </w:t>
      </w:r>
      <w:r w:rsidR="0020253B">
        <w:rPr>
          <w:rFonts w:ascii="Times New Roman" w:hAnsi="Times New Roman" w:cs="Times New Roman"/>
          <w:sz w:val="24"/>
          <w:szCs w:val="24"/>
        </w:rPr>
        <w:t>between</w:t>
      </w:r>
      <w:r w:rsidR="0020253B">
        <w:rPr>
          <w:rFonts w:ascii="Times New Roman" w:hAnsi="Times New Roman" w:cs="Times New Roman"/>
          <w:sz w:val="24"/>
          <w:szCs w:val="24"/>
        </w:rPr>
        <w:t xml:space="preserve"> </w:t>
      </w:r>
      <w:r w:rsidR="0020253B">
        <w:rPr>
          <w:rFonts w:ascii="Times New Roman" w:hAnsi="Times New Roman" w:cs="Times New Roman"/>
          <w:sz w:val="24"/>
          <w:szCs w:val="24"/>
        </w:rPr>
        <w:t xml:space="preserve">the </w:t>
      </w:r>
      <w:r w:rsidR="0020253B">
        <w:rPr>
          <w:rFonts w:ascii="Times New Roman" w:hAnsi="Times New Roman" w:cs="Times New Roman"/>
          <w:sz w:val="24"/>
          <w:szCs w:val="24"/>
        </w:rPr>
        <w:t>two facilit</w:t>
      </w:r>
      <w:r w:rsidR="0020253B">
        <w:rPr>
          <w:rFonts w:ascii="Times New Roman" w:hAnsi="Times New Roman" w:cs="Times New Roman"/>
          <w:sz w:val="24"/>
          <w:szCs w:val="24"/>
        </w:rPr>
        <w:t>ies</w:t>
      </w:r>
      <w:r w:rsidR="0020253B">
        <w:rPr>
          <w:rFonts w:ascii="Times New Roman" w:hAnsi="Times New Roman" w:cs="Times New Roman"/>
          <w:sz w:val="24"/>
          <w:szCs w:val="24"/>
        </w:rPr>
        <w:t xml:space="preserve"> is 1 </w:t>
      </w:r>
      <w:r w:rsidR="0020253B">
        <w:rPr>
          <w:rFonts w:ascii="Times New Roman" w:hAnsi="Times New Roman" w:cs="Times New Roman"/>
          <w:sz w:val="24"/>
          <w:szCs w:val="24"/>
        </w:rPr>
        <w:t>km</w:t>
      </w:r>
      <w:r w:rsidR="0020253B">
        <w:rPr>
          <w:rFonts w:ascii="Times New Roman" w:hAnsi="Times New Roman" w:cs="Times New Roman"/>
          <w:sz w:val="24"/>
          <w:szCs w:val="24"/>
        </w:rPr>
        <w:t>.</w:t>
      </w:r>
      <w:r w:rsidR="0020253B">
        <w:t xml:space="preserve"> </w:t>
      </w:r>
      <w:r w:rsidR="0020253B">
        <w:rPr>
          <w:rFonts w:ascii="Times New Roman" w:hAnsi="Times New Roman" w:cs="Times New Roman"/>
          <w:sz w:val="24"/>
          <w:szCs w:val="24"/>
        </w:rPr>
        <w:t xml:space="preserve">After the PR value is obtained from the two facilities, the PI value is </w:t>
      </w:r>
      <w:r w:rsidR="0020253B">
        <w:rPr>
          <w:rFonts w:ascii="Times New Roman" w:hAnsi="Times New Roman" w:cs="Times New Roman"/>
          <w:sz w:val="24"/>
          <w:szCs w:val="24"/>
        </w:rPr>
        <w:t>determined</w:t>
      </w:r>
      <w:r w:rsidR="0020253B">
        <w:rPr>
          <w:rFonts w:ascii="Times New Roman" w:hAnsi="Times New Roman" w:cs="Times New Roman"/>
          <w:sz w:val="24"/>
          <w:szCs w:val="24"/>
        </w:rPr>
        <w:t xml:space="preserve"> by taking the lowest percentage of the two PRs. Based on the results obtained, the PI value is 65%. </w:t>
      </w:r>
    </w:p>
    <w:p w14:paraId="048F46C5" w14:textId="5D14C466" w:rsidR="0020253B" w:rsidRDefault="0020253B" w:rsidP="0020253B">
      <w:pPr>
        <w:ind w:leftChars="64"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the resulting PR and PI values is to show the interaction between bicycle facilities (transportation facilities) with 5 other public facilities and vice versa. The facilities are then paired into 2 co-locations and the results are 15 tables for a total of 6 facilities. There are 10 distances analyzed for each table so that the total table created is 150 rows. The value of the proximity between transportation facilities and other public facilities can be seen in the participation index (PI) column.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Within 1 </w:t>
      </w:r>
      <w:r>
        <w:rPr>
          <w:rFonts w:ascii="Times New Roman" w:eastAsia="Times New Roman" w:hAnsi="Times New Roman" w:cs="Times New Roman"/>
          <w:sz w:val="24"/>
          <w:szCs w:val="24"/>
        </w:rPr>
        <w:t>km</w:t>
      </w:r>
      <w:r>
        <w:rPr>
          <w:rFonts w:ascii="Times New Roman" w:eastAsia="Times New Roman" w:hAnsi="Times New Roman" w:cs="Times New Roman"/>
          <w:sz w:val="24"/>
          <w:szCs w:val="24"/>
        </w:rPr>
        <w:t xml:space="preserve">, the percentage of PI above 50%, there are transportation facilities with educational areas, residential areas, and commercial and office areas. This shows that within 1 </w:t>
      </w:r>
      <w:r>
        <w:rPr>
          <w:rFonts w:ascii="Times New Roman" w:eastAsia="Times New Roman" w:hAnsi="Times New Roman" w:cs="Times New Roman"/>
          <w:sz w:val="24"/>
          <w:szCs w:val="24"/>
        </w:rPr>
        <w:t>km</w:t>
      </w:r>
      <w:r>
        <w:rPr>
          <w:rFonts w:ascii="Times New Roman" w:eastAsia="Times New Roman" w:hAnsi="Times New Roman" w:cs="Times New Roman"/>
          <w:sz w:val="24"/>
          <w:szCs w:val="24"/>
        </w:rPr>
        <w:t xml:space="preserve"> on public transportation, we can find facilities that are close to each other with public transportation, namely office areas, commercial areas, residential areas, and education areas. Public transportation which is located close to these three facilities makes it easier for urban residents to reach the areas where they are active. Meanwhile, for park and green area</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and hospital</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it is below 50%, which means that within 1 </w:t>
      </w:r>
      <w:r>
        <w:rPr>
          <w:rFonts w:ascii="Times New Roman" w:eastAsia="Times New Roman" w:hAnsi="Times New Roman" w:cs="Times New Roman"/>
          <w:sz w:val="24"/>
          <w:szCs w:val="24"/>
        </w:rPr>
        <w:t>km</w:t>
      </w:r>
      <w:r>
        <w:rPr>
          <w:rFonts w:ascii="Times New Roman" w:eastAsia="Times New Roman" w:hAnsi="Times New Roman" w:cs="Times New Roman"/>
          <w:sz w:val="24"/>
          <w:szCs w:val="24"/>
        </w:rPr>
        <w:t>, public transportation, park</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green area and hospital are not close to each other and have further access than the previous three facilities.</w:t>
      </w:r>
    </w:p>
    <w:p w14:paraId="461ECF4A" w14:textId="4B87CA87" w:rsidR="0020253B" w:rsidRDefault="0020253B" w:rsidP="0020253B">
      <w:pPr>
        <w:ind w:leftChars="64"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 value of transportation facilities and park and green areas has the lowest PI value, namely 7%, which means that the two facilities are within 1 </w:t>
      </w:r>
      <w:r>
        <w:rPr>
          <w:rFonts w:ascii="Times New Roman" w:eastAsia="Times New Roman" w:hAnsi="Times New Roman" w:cs="Times New Roman"/>
          <w:sz w:val="24"/>
          <w:szCs w:val="24"/>
        </w:rPr>
        <w:t>km</w:t>
      </w:r>
      <w:r>
        <w:rPr>
          <w:rFonts w:ascii="Times New Roman" w:eastAsia="Times New Roman" w:hAnsi="Times New Roman" w:cs="Times New Roman"/>
          <w:sz w:val="24"/>
          <w:szCs w:val="24"/>
        </w:rPr>
        <w:t xml:space="preserve"> of not much interaction. The park area is located further away from transportation facilities to reduce air pollution arising from motorized vehicles. Meanwhile, the hospital area with a PI value of 20% is located far from transportation facilities which aim to avoid air pollution and noise pollution produced by motorized vehicles. </w:t>
      </w:r>
      <w:r>
        <w:rPr>
          <w:rFonts w:ascii="Times New Roman" w:eastAsia="Times New Roman" w:hAnsi="Times New Roman" w:cs="Times New Roman"/>
          <w:sz w:val="24"/>
          <w:szCs w:val="24"/>
        </w:rPr>
        <w:t>T</w:t>
      </w:r>
      <w:r>
        <w:rPr>
          <w:rFonts w:ascii="Times New Roman" w:eastAsia="Times New Roman" w:hAnsi="Times New Roman" w:cs="Times New Roman"/>
          <w:sz w:val="24"/>
          <w:szCs w:val="24"/>
        </w:rPr>
        <w:t>he hospital area needs to create a calm atmosphere to maintain the comfort and mental health of the patient.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highest PI value is the interaction between the commercial and office area and public transportation facilities (78%), which indicates that there is a close relationship between the two facilities. This is like the fact, for commercial and office areas it is always close to public transportation where the aim is to facilitate the mobility and access of urban residents to their places of activity, where the majority of residents of urban areas work as office employees. </w:t>
      </w:r>
      <w:r>
        <w:rPr>
          <w:rFonts w:ascii="Times New Roman" w:eastAsia="Times New Roman" w:hAnsi="Times New Roman" w:cs="Times New Roman"/>
          <w:sz w:val="24"/>
          <w:szCs w:val="24"/>
        </w:rPr>
        <w:t>The most common use of transportation may occur</w:t>
      </w:r>
      <w:r>
        <w:rPr>
          <w:rFonts w:ascii="Times New Roman" w:eastAsia="Times New Roman" w:hAnsi="Times New Roman" w:cs="Times New Roman"/>
          <w:sz w:val="24"/>
          <w:szCs w:val="24"/>
        </w:rPr>
        <w:t xml:space="preserve"> in commercial and office areas, this is because residents who work in the city center partially live far from their activities, so transportation access is needed.</w:t>
      </w:r>
    </w:p>
    <w:p w14:paraId="5C17BF54" w14:textId="77777777" w:rsidR="00687CB5" w:rsidRDefault="0088594F">
      <w:pPr>
        <w:ind w:firstLineChars="177" w:firstLine="389"/>
        <w:jc w:val="both"/>
        <w:rPr>
          <w:rFonts w:ascii="Times New Roman" w:hAnsi="Times New Roman" w:cs="Times New Roman"/>
          <w:sz w:val="24"/>
          <w:szCs w:val="24"/>
        </w:rPr>
      </w:pPr>
      <w:r>
        <w:rPr>
          <w:noProof/>
          <w:lang w:eastAsia="zh-CN"/>
        </w:rPr>
        <w:lastRenderedPageBreak/>
        <w:drawing>
          <wp:inline distT="0" distB="0" distL="0" distR="0" wp14:anchorId="0365525B" wp14:editId="0DDB7045">
            <wp:extent cx="5501640" cy="3551555"/>
            <wp:effectExtent l="0" t="0" r="3810"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13EA6F" w14:textId="00BF6EF3" w:rsidR="00687CB5" w:rsidRPr="002C0333" w:rsidRDefault="002C0333" w:rsidP="001A49B5">
      <w:pPr>
        <w:jc w:val="center"/>
        <w:rPr>
          <w:rFonts w:ascii="Times New Roman" w:hAnsi="Times New Roman" w:cs="Times New Roman"/>
          <w:sz w:val="20"/>
          <w:szCs w:val="20"/>
        </w:rPr>
      </w:pPr>
      <w:r w:rsidRPr="001A49B5">
        <w:rPr>
          <w:rFonts w:ascii="Times New Roman" w:hAnsi="Times New Roman" w:cs="Times New Roman"/>
          <w:sz w:val="20"/>
          <w:szCs w:val="20"/>
        </w:rPr>
        <w:t xml:space="preserve">Figure </w:t>
      </w:r>
      <w:r w:rsidR="0020253B">
        <w:rPr>
          <w:rFonts w:ascii="Times New Roman" w:hAnsi="Times New Roman" w:cs="Times New Roman"/>
          <w:sz w:val="20"/>
          <w:szCs w:val="20"/>
        </w:rPr>
        <w:t>2</w:t>
      </w:r>
      <w:r w:rsidRPr="001A49B5">
        <w:rPr>
          <w:rFonts w:ascii="Times New Roman" w:hAnsi="Times New Roman" w:cs="Times New Roman"/>
          <w:sz w:val="20"/>
          <w:szCs w:val="20"/>
        </w:rPr>
        <w:t>. N</w:t>
      </w:r>
      <w:r>
        <w:rPr>
          <w:rFonts w:ascii="Times New Roman" w:hAnsi="Times New Roman" w:cs="Times New Roman"/>
          <w:sz w:val="20"/>
          <w:szCs w:val="20"/>
        </w:rPr>
        <w:t>umber of Public Facilities That Interact with Public Transport Facilities</w:t>
      </w:r>
    </w:p>
    <w:p w14:paraId="151573E7" w14:textId="5C5F4A11" w:rsidR="002C0333" w:rsidRDefault="002C0333" w:rsidP="0088594F">
      <w:pPr>
        <w:ind w:firstLineChars="177" w:firstLine="425"/>
        <w:jc w:val="both"/>
        <w:rPr>
          <w:rFonts w:ascii="Times New Roman" w:hAnsi="Times New Roman" w:cs="Times New Roman"/>
          <w:sz w:val="24"/>
          <w:szCs w:val="24"/>
        </w:rPr>
      </w:pPr>
    </w:p>
    <w:p w14:paraId="0CE4CD40" w14:textId="77777777" w:rsidR="00A56FD5" w:rsidRDefault="00A56FD5" w:rsidP="00A56FD5">
      <w:pPr>
        <w:ind w:leftChars="64"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t>
      </w:r>
      <w:proofErr w:type="gramStart"/>
      <w:r>
        <w:rPr>
          <w:rFonts w:ascii="Times New Roman" w:eastAsia="Times New Roman" w:hAnsi="Times New Roman" w:cs="Times New Roman"/>
          <w:sz w:val="24"/>
          <w:szCs w:val="24"/>
        </w:rPr>
        <w:t>a distance of 2-3</w:t>
      </w:r>
      <w:proofErr w:type="gramEnd"/>
      <w:r>
        <w:rPr>
          <w:rFonts w:ascii="Times New Roman" w:eastAsia="Times New Roman" w:hAnsi="Times New Roman" w:cs="Times New Roman"/>
          <w:sz w:val="24"/>
          <w:szCs w:val="24"/>
        </w:rPr>
        <w:t xml:space="preserve"> km, the lowest PI value is between the relationship between park and green area facilities and public transportation. Meanwhile, the relationship between hospital facilities and public transportation is above 50% at </w:t>
      </w:r>
      <w:proofErr w:type="gramStart"/>
      <w:r>
        <w:rPr>
          <w:rFonts w:ascii="Times New Roman" w:eastAsia="Times New Roman" w:hAnsi="Times New Roman" w:cs="Times New Roman"/>
          <w:sz w:val="24"/>
          <w:szCs w:val="24"/>
        </w:rPr>
        <w:t>a distance of 3</w:t>
      </w:r>
      <w:proofErr w:type="gramEnd"/>
      <w:r>
        <w:rPr>
          <w:rFonts w:ascii="Times New Roman" w:eastAsia="Times New Roman" w:hAnsi="Times New Roman" w:cs="Times New Roman"/>
          <w:sz w:val="24"/>
          <w:szCs w:val="24"/>
        </w:rPr>
        <w:t xml:space="preserve"> km. This shows that the distance between the construction of hospital facilities and public facilities is separated by a minimum of 2 to 3 km. Meanwhile, for park and green areas and public transportation facilities, the construction of the facilities is within 3 to 4 km. For commercial and office area and public transportation facilities, the PI value is always above 50% for </w:t>
      </w:r>
      <w:proofErr w:type="gramStart"/>
      <w:r>
        <w:rPr>
          <w:rFonts w:ascii="Times New Roman" w:eastAsia="Times New Roman" w:hAnsi="Times New Roman" w:cs="Times New Roman"/>
          <w:sz w:val="24"/>
          <w:szCs w:val="24"/>
        </w:rPr>
        <w:t>a distance of 1</w:t>
      </w:r>
      <w:proofErr w:type="gramEnd"/>
      <w:r>
        <w:rPr>
          <w:rFonts w:ascii="Times New Roman" w:eastAsia="Times New Roman" w:hAnsi="Times New Roman" w:cs="Times New Roman"/>
          <w:sz w:val="24"/>
          <w:szCs w:val="24"/>
        </w:rPr>
        <w:t xml:space="preserve"> to 10 km, this shows that the construction of transportation facilities is closely related to the commercial and office area.</w:t>
      </w:r>
    </w:p>
    <w:p w14:paraId="40A2C2AD" w14:textId="77777777" w:rsidR="00A56FD5" w:rsidRDefault="00A56FD5" w:rsidP="00A56FD5">
      <w:pPr>
        <w:ind w:leftChars="64" w:left="141"/>
        <w:jc w:val="both"/>
        <w:rPr>
          <w:rFonts w:ascii="Times New Roman" w:eastAsia="Times New Roman" w:hAnsi="Times New Roman" w:cs="Times New Roman"/>
          <w:sz w:val="24"/>
          <w:szCs w:val="24"/>
        </w:rPr>
      </w:pPr>
      <w:r w:rsidRPr="003A7517">
        <w:rPr>
          <w:rFonts w:ascii="Times New Roman" w:eastAsia="Times New Roman" w:hAnsi="Times New Roman" w:cs="Times New Roman"/>
          <w:sz w:val="24"/>
          <w:szCs w:val="24"/>
        </w:rPr>
        <w:t xml:space="preserve">Based on the results of the analysis conducted, commercial facilities and office areas, educational areas, and residential areas have the highest interaction with public transportation facilities. </w:t>
      </w:r>
      <w:r>
        <w:rPr>
          <w:rFonts w:ascii="Times New Roman" w:eastAsia="Times New Roman" w:hAnsi="Times New Roman" w:cs="Times New Roman"/>
          <w:sz w:val="24"/>
          <w:szCs w:val="24"/>
        </w:rPr>
        <w:t>T</w:t>
      </w:r>
      <w:r w:rsidRPr="003A7517">
        <w:rPr>
          <w:rFonts w:ascii="Times New Roman" w:eastAsia="Times New Roman" w:hAnsi="Times New Roman" w:cs="Times New Roman"/>
          <w:sz w:val="24"/>
          <w:szCs w:val="24"/>
        </w:rPr>
        <w:t xml:space="preserve">he three facilities are </w:t>
      </w:r>
      <w:r>
        <w:rPr>
          <w:rFonts w:ascii="Times New Roman" w:eastAsia="Times New Roman" w:hAnsi="Times New Roman" w:cs="Times New Roman"/>
          <w:sz w:val="24"/>
          <w:szCs w:val="24"/>
        </w:rPr>
        <w:t xml:space="preserve">very </w:t>
      </w:r>
      <w:r w:rsidRPr="003A7517">
        <w:rPr>
          <w:rFonts w:ascii="Times New Roman" w:eastAsia="Times New Roman" w:hAnsi="Times New Roman" w:cs="Times New Roman"/>
          <w:sz w:val="24"/>
          <w:szCs w:val="24"/>
        </w:rPr>
        <w:t>strategic locations to build a bike sharing facility because it will support the activities of the population to make it more effective and efficient.</w:t>
      </w:r>
    </w:p>
    <w:p w14:paraId="69DDF397" w14:textId="0B4F3C7C" w:rsidR="00A56FD5" w:rsidRDefault="00A56FD5" w:rsidP="0088594F">
      <w:pPr>
        <w:ind w:firstLineChars="177" w:firstLine="425"/>
        <w:jc w:val="both"/>
        <w:rPr>
          <w:rFonts w:ascii="Times New Roman" w:hAnsi="Times New Roman" w:cs="Times New Roman"/>
          <w:sz w:val="24"/>
          <w:szCs w:val="24"/>
        </w:rPr>
      </w:pPr>
    </w:p>
    <w:p w14:paraId="79D01FC0" w14:textId="77777777" w:rsidR="00A56FD5" w:rsidRDefault="00A56FD5" w:rsidP="0088594F">
      <w:pPr>
        <w:ind w:firstLineChars="177" w:firstLine="425"/>
        <w:jc w:val="both"/>
        <w:rPr>
          <w:rFonts w:ascii="Times New Roman" w:hAnsi="Times New Roman" w:cs="Times New Roman"/>
          <w:sz w:val="24"/>
          <w:szCs w:val="24"/>
        </w:rPr>
      </w:pPr>
    </w:p>
    <w:p w14:paraId="08CA96F1" w14:textId="77777777" w:rsidR="00687CB5" w:rsidRDefault="002A2313">
      <w:pPr>
        <w:ind w:firstLine="420"/>
        <w:jc w:val="both"/>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14:anchorId="000456AC" wp14:editId="417DC227">
            <wp:extent cx="2662764" cy="1692000"/>
            <wp:effectExtent l="0" t="0" r="444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2764" cy="1692000"/>
                    </a:xfrm>
                    <a:prstGeom prst="rect">
                      <a:avLst/>
                    </a:prstGeom>
                  </pic:spPr>
                </pic:pic>
              </a:graphicData>
            </a:graphic>
          </wp:inline>
        </w:drawing>
      </w:r>
      <w:r w:rsidR="00B4048A">
        <w:rPr>
          <w:rFonts w:ascii="Times New Roman" w:hAnsi="Times New Roman" w:cs="Times New Roman"/>
          <w:noProof/>
          <w:sz w:val="24"/>
          <w:szCs w:val="24"/>
          <w:lang w:eastAsia="zh-CN"/>
        </w:rPr>
        <w:drawing>
          <wp:inline distT="0" distB="0" distL="0" distR="0" wp14:anchorId="108E1875" wp14:editId="364CEA04">
            <wp:extent cx="2664000" cy="1686858"/>
            <wp:effectExtent l="0" t="0" r="317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4000" cy="1686858"/>
                    </a:xfrm>
                    <a:prstGeom prst="rect">
                      <a:avLst/>
                    </a:prstGeom>
                  </pic:spPr>
                </pic:pic>
              </a:graphicData>
            </a:graphic>
          </wp:inline>
        </w:drawing>
      </w:r>
    </w:p>
    <w:p w14:paraId="5F0D5744" w14:textId="77777777" w:rsidR="00687CB5" w:rsidRPr="00B4048A" w:rsidRDefault="002C0333" w:rsidP="00B4048A">
      <w:pPr>
        <w:pStyle w:val="ListParagraph"/>
        <w:numPr>
          <w:ilvl w:val="0"/>
          <w:numId w:val="5"/>
        </w:numPr>
        <w:ind w:left="6663" w:hanging="4253"/>
        <w:jc w:val="both"/>
        <w:rPr>
          <w:rFonts w:ascii="Times New Roman" w:hAnsi="Times New Roman" w:cs="Times New Roman"/>
          <w:sz w:val="20"/>
          <w:lang w:eastAsia="zh-CN"/>
        </w:rPr>
      </w:pPr>
      <w:r w:rsidRPr="00B4048A">
        <w:rPr>
          <w:rFonts w:ascii="Times New Roman" w:hAnsi="Times New Roman" w:cs="Times New Roman"/>
          <w:sz w:val="20"/>
          <w:lang w:eastAsia="zh-CN"/>
        </w:rPr>
        <w:t>(b)</w:t>
      </w:r>
    </w:p>
    <w:p w14:paraId="1DD9C2FE" w14:textId="77777777" w:rsidR="00B4048A" w:rsidRPr="00B4048A" w:rsidRDefault="00B4048A" w:rsidP="00B4048A">
      <w:pPr>
        <w:pStyle w:val="ListParagraph"/>
        <w:ind w:left="5045"/>
        <w:jc w:val="both"/>
        <w:rPr>
          <w:rFonts w:ascii="Times New Roman" w:hAnsi="Times New Roman" w:cs="Times New Roman"/>
          <w:sz w:val="20"/>
          <w:lang w:eastAsia="zh-CN"/>
        </w:rPr>
      </w:pPr>
    </w:p>
    <w:p w14:paraId="461A4458" w14:textId="77777777" w:rsidR="00687CB5" w:rsidRDefault="0088594F">
      <w:pPr>
        <w:ind w:leftChars="193" w:left="425"/>
        <w:jc w:val="both"/>
        <w:rPr>
          <w:lang w:eastAsia="zh-CN"/>
        </w:rPr>
      </w:pPr>
      <w:r>
        <w:rPr>
          <w:lang w:eastAsia="zh-CN"/>
        </w:rPr>
        <w:lastRenderedPageBreak/>
        <w:t xml:space="preserve"> </w:t>
      </w:r>
      <w:r w:rsidR="00B4048A">
        <w:rPr>
          <w:noProof/>
          <w:lang w:eastAsia="zh-CN"/>
        </w:rPr>
        <w:drawing>
          <wp:inline distT="0" distB="0" distL="0" distR="0" wp14:anchorId="3FBA670E" wp14:editId="6D10687D">
            <wp:extent cx="2664000" cy="1685597"/>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e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4000" cy="1685597"/>
                    </a:xfrm>
                    <a:prstGeom prst="rect">
                      <a:avLst/>
                    </a:prstGeom>
                  </pic:spPr>
                </pic:pic>
              </a:graphicData>
            </a:graphic>
          </wp:inline>
        </w:drawing>
      </w:r>
      <w:r w:rsidR="00B4048A">
        <w:rPr>
          <w:noProof/>
          <w:lang w:eastAsia="zh-CN"/>
        </w:rPr>
        <w:drawing>
          <wp:inline distT="0" distB="0" distL="0" distR="0" wp14:anchorId="29856C89" wp14:editId="7EA1979C">
            <wp:extent cx="2664000" cy="1674024"/>
            <wp:effectExtent l="0" t="0" r="317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4000" cy="1674024"/>
                    </a:xfrm>
                    <a:prstGeom prst="rect">
                      <a:avLst/>
                    </a:prstGeom>
                  </pic:spPr>
                </pic:pic>
              </a:graphicData>
            </a:graphic>
          </wp:inline>
        </w:drawing>
      </w:r>
    </w:p>
    <w:p w14:paraId="78BCB50A" w14:textId="77777777" w:rsidR="00687CB5" w:rsidRDefault="00B4048A" w:rsidP="00B4048A">
      <w:pPr>
        <w:tabs>
          <w:tab w:val="left" w:pos="6663"/>
        </w:tabs>
        <w:ind w:leftChars="1095" w:left="2409"/>
        <w:jc w:val="both"/>
        <w:rPr>
          <w:rFonts w:ascii="Times New Roman" w:hAnsi="Times New Roman" w:cs="Times New Roman"/>
          <w:sz w:val="20"/>
          <w:szCs w:val="20"/>
          <w:lang w:eastAsia="zh-CN"/>
        </w:rPr>
      </w:pPr>
      <w:r>
        <w:rPr>
          <w:rFonts w:ascii="Times New Roman" w:hAnsi="Times New Roman" w:cs="Times New Roman"/>
          <w:sz w:val="20"/>
          <w:szCs w:val="20"/>
          <w:lang w:eastAsia="zh-CN"/>
        </w:rPr>
        <w:t xml:space="preserve">(c) </w:t>
      </w:r>
      <w:r>
        <w:rPr>
          <w:rFonts w:ascii="Times New Roman" w:hAnsi="Times New Roman" w:cs="Times New Roman"/>
          <w:sz w:val="20"/>
          <w:szCs w:val="20"/>
          <w:lang w:eastAsia="zh-CN"/>
        </w:rPr>
        <w:tab/>
      </w:r>
      <w:r w:rsidR="002C0333" w:rsidRPr="002C0333">
        <w:rPr>
          <w:rFonts w:ascii="Times New Roman" w:hAnsi="Times New Roman" w:cs="Times New Roman"/>
          <w:sz w:val="20"/>
          <w:szCs w:val="20"/>
          <w:lang w:eastAsia="zh-CN"/>
        </w:rPr>
        <w:t>(d)</w:t>
      </w:r>
    </w:p>
    <w:p w14:paraId="7A7A2F00" w14:textId="77777777" w:rsidR="00B4048A" w:rsidRPr="002C0333" w:rsidRDefault="00B4048A" w:rsidP="00B4048A">
      <w:pPr>
        <w:tabs>
          <w:tab w:val="left" w:pos="6663"/>
        </w:tabs>
        <w:ind w:leftChars="1095" w:left="2409"/>
        <w:jc w:val="both"/>
        <w:rPr>
          <w:rFonts w:ascii="Times New Roman" w:hAnsi="Times New Roman" w:cs="Times New Roman"/>
          <w:sz w:val="20"/>
          <w:szCs w:val="20"/>
          <w:lang w:eastAsia="zh-CN"/>
        </w:rPr>
      </w:pPr>
    </w:p>
    <w:p w14:paraId="3C6A0245" w14:textId="77777777" w:rsidR="00687CB5" w:rsidRDefault="00B4048A">
      <w:pPr>
        <w:ind w:leftChars="193" w:left="425"/>
        <w:jc w:val="center"/>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14:anchorId="184245B1" wp14:editId="41786141">
            <wp:extent cx="2664000" cy="1693396"/>
            <wp:effectExtent l="0" t="0" r="317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4000" cy="1693396"/>
                    </a:xfrm>
                    <a:prstGeom prst="rect">
                      <a:avLst/>
                    </a:prstGeom>
                  </pic:spPr>
                </pic:pic>
              </a:graphicData>
            </a:graphic>
          </wp:inline>
        </w:drawing>
      </w:r>
    </w:p>
    <w:p w14:paraId="49E5E0DD" w14:textId="77777777" w:rsidR="00687CB5" w:rsidRDefault="002C0333" w:rsidP="00B4048A">
      <w:pPr>
        <w:ind w:leftChars="2126" w:left="4677"/>
        <w:rPr>
          <w:rFonts w:ascii="Times New Roman" w:eastAsia="Times New Roman" w:hAnsi="Times New Roman" w:cs="Times New Roman"/>
          <w:sz w:val="20"/>
          <w:szCs w:val="24"/>
        </w:rPr>
      </w:pPr>
      <w:r w:rsidRPr="002C0333">
        <w:rPr>
          <w:rFonts w:ascii="Times New Roman" w:eastAsia="Times New Roman" w:hAnsi="Times New Roman" w:cs="Times New Roman"/>
          <w:sz w:val="20"/>
          <w:szCs w:val="24"/>
        </w:rPr>
        <w:t>(e)</w:t>
      </w:r>
    </w:p>
    <w:p w14:paraId="12F06949" w14:textId="14E008F6" w:rsidR="002C0333" w:rsidRDefault="002C0333" w:rsidP="001A49B5">
      <w:pPr>
        <w:jc w:val="center"/>
        <w:rPr>
          <w:rFonts w:ascii="Times New Roman" w:eastAsia="Times New Roman" w:hAnsi="Times New Roman" w:cs="Times New Roman"/>
          <w:sz w:val="20"/>
          <w:szCs w:val="24"/>
        </w:rPr>
      </w:pPr>
      <w:r w:rsidRPr="001A49B5">
        <w:rPr>
          <w:rFonts w:ascii="Times New Roman" w:eastAsia="Times New Roman" w:hAnsi="Times New Roman" w:cs="Times New Roman"/>
          <w:sz w:val="20"/>
          <w:szCs w:val="24"/>
        </w:rPr>
        <w:t xml:space="preserve">Figure </w:t>
      </w:r>
      <w:r w:rsidR="0020253B">
        <w:rPr>
          <w:rFonts w:ascii="Times New Roman" w:eastAsia="Times New Roman" w:hAnsi="Times New Roman" w:cs="Times New Roman"/>
          <w:sz w:val="20"/>
          <w:szCs w:val="24"/>
        </w:rPr>
        <w:t>3</w:t>
      </w:r>
      <w:r w:rsidRPr="001A49B5">
        <w:rPr>
          <w:rFonts w:ascii="Times New Roman" w:eastAsia="Times New Roman" w:hAnsi="Times New Roman" w:cs="Times New Roman"/>
          <w:sz w:val="20"/>
          <w:szCs w:val="24"/>
        </w:rPr>
        <w:t>.</w:t>
      </w:r>
      <w:r>
        <w:rPr>
          <w:rFonts w:ascii="Times New Roman" w:eastAsia="Times New Roman" w:hAnsi="Times New Roman" w:cs="Times New Roman"/>
          <w:sz w:val="20"/>
          <w:szCs w:val="24"/>
        </w:rPr>
        <w:t xml:space="preserve"> The Interaction of Public Transportation with Others Public Facilities Presented by Participati</w:t>
      </w:r>
      <w:r w:rsidR="00F52A28">
        <w:rPr>
          <w:rFonts w:ascii="Times New Roman" w:eastAsia="Times New Roman" w:hAnsi="Times New Roman" w:cs="Times New Roman"/>
          <w:sz w:val="20"/>
          <w:szCs w:val="24"/>
        </w:rPr>
        <w:t>on Ratio</w:t>
      </w:r>
      <w:r>
        <w:rPr>
          <w:rFonts w:ascii="Times New Roman" w:eastAsia="Times New Roman" w:hAnsi="Times New Roman" w:cs="Times New Roman"/>
          <w:sz w:val="20"/>
          <w:szCs w:val="24"/>
        </w:rPr>
        <w:t xml:space="preserve"> (PR) and Participation Index (PI)</w:t>
      </w:r>
    </w:p>
    <w:p w14:paraId="2C03D7AF" w14:textId="77777777" w:rsidR="002C0333" w:rsidRPr="002C0333" w:rsidRDefault="002C0333" w:rsidP="002C0333">
      <w:pPr>
        <w:rPr>
          <w:rFonts w:ascii="Times New Roman" w:eastAsia="Times New Roman" w:hAnsi="Times New Roman" w:cs="Times New Roman"/>
          <w:sz w:val="20"/>
          <w:szCs w:val="24"/>
        </w:rPr>
      </w:pPr>
    </w:p>
    <w:p w14:paraId="6FC6C040" w14:textId="77777777" w:rsidR="00687CB5" w:rsidRDefault="00687CB5">
      <w:pPr>
        <w:ind w:firstLine="420"/>
        <w:jc w:val="both"/>
        <w:rPr>
          <w:rFonts w:ascii="Times New Roman" w:hAnsi="Times New Roman" w:cs="Times New Roman"/>
          <w:sz w:val="24"/>
          <w:szCs w:val="24"/>
        </w:rPr>
      </w:pPr>
    </w:p>
    <w:p w14:paraId="36CA452C" w14:textId="77777777" w:rsidR="00687CB5" w:rsidRDefault="0088594F">
      <w:pPr>
        <w:pStyle w:val="Heading1"/>
        <w:numPr>
          <w:ilvl w:val="0"/>
          <w:numId w:val="1"/>
        </w:numPr>
        <w:tabs>
          <w:tab w:val="left" w:pos="422"/>
        </w:tabs>
        <w:jc w:val="both"/>
        <w:rPr>
          <w:b w:val="0"/>
          <w:bCs w:val="0"/>
        </w:rPr>
      </w:pPr>
      <w:r>
        <w:t>CONCLUSION</w:t>
      </w:r>
    </w:p>
    <w:p w14:paraId="08CC6E72" w14:textId="77777777" w:rsidR="003A7517" w:rsidRDefault="003A7517" w:rsidP="00163768">
      <w:pPr>
        <w:ind w:firstLineChars="177" w:firstLine="425"/>
        <w:jc w:val="both"/>
        <w:rPr>
          <w:rFonts w:ascii="Times New Roman" w:eastAsia="Times New Roman" w:hAnsi="Times New Roman" w:cs="Times New Roman"/>
          <w:sz w:val="24"/>
          <w:szCs w:val="24"/>
        </w:rPr>
      </w:pPr>
    </w:p>
    <w:p w14:paraId="25B5CD81" w14:textId="77777777" w:rsidR="00163768" w:rsidRPr="00163768" w:rsidRDefault="00163768" w:rsidP="002A2313">
      <w:pPr>
        <w:ind w:leftChars="64" w:left="141"/>
        <w:jc w:val="both"/>
        <w:rPr>
          <w:rFonts w:ascii="Times New Roman" w:eastAsia="Times New Roman" w:hAnsi="Times New Roman" w:cs="Times New Roman"/>
          <w:sz w:val="24"/>
          <w:szCs w:val="24"/>
        </w:rPr>
      </w:pPr>
      <w:r w:rsidRPr="00163768">
        <w:rPr>
          <w:rFonts w:ascii="Times New Roman" w:eastAsia="Times New Roman" w:hAnsi="Times New Roman" w:cs="Times New Roman"/>
          <w:sz w:val="24"/>
          <w:szCs w:val="24"/>
        </w:rPr>
        <w:t>Urbanization that occurs in the big city in Indonesia, namely Jakarta, has developed very rapidly from year to year. The population that continues to grow has created a need that is also increasing. Therefore, infrastructure development is being carried out in various sectors, one of which is transportation. Transportation is an inseparable need for residents, traveling from home to work, school, hospital, to returning home, all using assistance from transportation to get to their destination quickly. The transportation used consists of public transportation and private transportation. However, the number of use of private transportation is increasing, causing various problems to occur, such as congestion, air pollution and noise pollution.</w:t>
      </w:r>
    </w:p>
    <w:p w14:paraId="4A998948" w14:textId="77777777" w:rsidR="00163768" w:rsidRPr="00163768" w:rsidRDefault="00163768" w:rsidP="002A2313">
      <w:pPr>
        <w:ind w:leftChars="64" w:left="141"/>
        <w:jc w:val="both"/>
        <w:rPr>
          <w:rFonts w:ascii="Times New Roman" w:eastAsia="Times New Roman" w:hAnsi="Times New Roman" w:cs="Times New Roman"/>
          <w:sz w:val="24"/>
          <w:szCs w:val="24"/>
        </w:rPr>
      </w:pPr>
      <w:r w:rsidRPr="00163768">
        <w:rPr>
          <w:rFonts w:ascii="Times New Roman" w:eastAsia="Times New Roman" w:hAnsi="Times New Roman" w:cs="Times New Roman"/>
          <w:sz w:val="24"/>
          <w:szCs w:val="24"/>
        </w:rPr>
        <w:t>The solution developed in overcoming this problem is to start inviting people to use public transportation by renovating various public transportation facilities, providing bicycle lanes, making sidewalks for pedestrians, and various other innovations. One possible solution is the availability of bike sharing facilities. Bike sharing, which is available in various locations, is expected to be easily accessible by residents and at a lower cost it can be used by various groups.</w:t>
      </w:r>
    </w:p>
    <w:p w14:paraId="7F346A91" w14:textId="3F134A0E" w:rsidR="00163768" w:rsidRDefault="00163768" w:rsidP="002A2313">
      <w:pPr>
        <w:ind w:leftChars="64" w:left="141"/>
        <w:jc w:val="both"/>
        <w:rPr>
          <w:rFonts w:ascii="Times New Roman" w:eastAsia="Times New Roman" w:hAnsi="Times New Roman" w:cs="Times New Roman"/>
          <w:sz w:val="24"/>
          <w:szCs w:val="24"/>
        </w:rPr>
      </w:pPr>
      <w:r w:rsidRPr="00163768">
        <w:rPr>
          <w:rFonts w:ascii="Times New Roman" w:eastAsia="Times New Roman" w:hAnsi="Times New Roman" w:cs="Times New Roman"/>
          <w:sz w:val="24"/>
          <w:szCs w:val="24"/>
        </w:rPr>
        <w:t>The bike sharing facility development needs to pay attention to the interaction with the surrounding public facilities. Based on the research results, public facilities that are closely related to public transportation facilities are commercial and office areas, residential areas, and educational areas. The three locations are considered strategic because they are the center of community activity which is always crowded with visits at any time. Placing the bike sharing facility in a busy location and close to the activity center can make it easier for users to reach it, thereby increasing the interest of the population to cycle, creating an urban area that is free from pollution and congestion.</w:t>
      </w:r>
    </w:p>
    <w:p w14:paraId="620CC171" w14:textId="77777777" w:rsidR="00A56FD5" w:rsidRDefault="00A56FD5" w:rsidP="002A2313">
      <w:pPr>
        <w:ind w:leftChars="64" w:left="141"/>
        <w:jc w:val="both"/>
        <w:rPr>
          <w:rFonts w:ascii="Times New Roman" w:eastAsia="Times New Roman" w:hAnsi="Times New Roman" w:cs="Times New Roman"/>
          <w:sz w:val="24"/>
          <w:szCs w:val="24"/>
        </w:rPr>
      </w:pPr>
    </w:p>
    <w:p w14:paraId="18E92D98" w14:textId="77777777" w:rsidR="009847D2" w:rsidRDefault="009847D2" w:rsidP="002A2313">
      <w:pPr>
        <w:ind w:leftChars="64" w:left="141"/>
        <w:jc w:val="both"/>
        <w:rPr>
          <w:rFonts w:ascii="Times New Roman" w:eastAsia="Times New Roman" w:hAnsi="Times New Roman" w:cs="Times New Roman"/>
          <w:sz w:val="24"/>
          <w:szCs w:val="24"/>
        </w:rPr>
      </w:pPr>
    </w:p>
    <w:p w14:paraId="4486EFDE" w14:textId="77777777" w:rsidR="00687CB5" w:rsidRDefault="0088594F" w:rsidP="009847D2">
      <w:pPr>
        <w:pStyle w:val="ReferenceHead"/>
        <w:spacing w:before="0" w:after="0"/>
      </w:pPr>
      <w:r>
        <w:lastRenderedPageBreak/>
        <w:t>REFERENCES</w:t>
      </w:r>
    </w:p>
    <w:p w14:paraId="07ACF4B7" w14:textId="77777777" w:rsidR="009847D2" w:rsidRDefault="009847D2" w:rsidP="009847D2">
      <w:pPr>
        <w:pStyle w:val="ReferenceHead"/>
        <w:spacing w:before="0" w:after="0"/>
      </w:pPr>
    </w:p>
    <w:p w14:paraId="1134B486" w14:textId="70A01C16" w:rsidR="00687CB5" w:rsidRPr="00163768" w:rsidRDefault="0088594F" w:rsidP="00C05E69">
      <w:pPr>
        <w:autoSpaceDE w:val="0"/>
        <w:autoSpaceDN w:val="0"/>
        <w:adjustRightInd w:val="0"/>
        <w:ind w:left="567" w:hanging="425"/>
        <w:jc w:val="both"/>
        <w:rPr>
          <w:rFonts w:ascii="Times New Roman" w:hAnsi="Times New Roman" w:cs="Times New Roman"/>
          <w:sz w:val="24"/>
          <w:szCs w:val="24"/>
        </w:rPr>
      </w:pPr>
      <w:r w:rsidRPr="00163768">
        <w:rPr>
          <w:rFonts w:ascii="Times New Roman" w:hAnsi="Times New Roman" w:cs="Times New Roman"/>
          <w:sz w:val="24"/>
          <w:szCs w:val="24"/>
        </w:rPr>
        <w:fldChar w:fldCharType="begin" w:fldLock="1"/>
      </w:r>
      <w:r w:rsidRPr="00163768">
        <w:rPr>
          <w:rFonts w:ascii="Times New Roman" w:hAnsi="Times New Roman" w:cs="Times New Roman"/>
          <w:sz w:val="24"/>
          <w:szCs w:val="24"/>
        </w:rPr>
        <w:instrText xml:space="preserve">ADDIN Mendeley Bibliography CSL_BIBLIOGRAPHY </w:instrText>
      </w:r>
      <w:r w:rsidRPr="00163768">
        <w:rPr>
          <w:rFonts w:ascii="Times New Roman" w:hAnsi="Times New Roman" w:cs="Times New Roman"/>
          <w:sz w:val="24"/>
          <w:szCs w:val="24"/>
        </w:rPr>
        <w:fldChar w:fldCharType="separate"/>
      </w:r>
      <w:r w:rsidRPr="00163768">
        <w:rPr>
          <w:rFonts w:ascii="Times New Roman" w:hAnsi="Times New Roman" w:cs="Times New Roman"/>
          <w:sz w:val="24"/>
          <w:szCs w:val="24"/>
        </w:rPr>
        <w:t xml:space="preserve">Bai, M., &amp; Krumdieck, S. (2020). Transition engineering of transport in megacities with case study on commuting in Beijing. </w:t>
      </w:r>
      <w:r w:rsidRPr="00163768">
        <w:rPr>
          <w:rFonts w:ascii="Times New Roman" w:hAnsi="Times New Roman" w:cs="Times New Roman"/>
          <w:i/>
          <w:iCs/>
          <w:sz w:val="24"/>
          <w:szCs w:val="24"/>
        </w:rPr>
        <w:t>Cities</w:t>
      </w:r>
      <w:r w:rsidRPr="00163768">
        <w:rPr>
          <w:rFonts w:ascii="Times New Roman" w:hAnsi="Times New Roman" w:cs="Times New Roman"/>
          <w:sz w:val="24"/>
          <w:szCs w:val="24"/>
        </w:rPr>
        <w:t xml:space="preserve">, </w:t>
      </w:r>
      <w:r w:rsidRPr="00163768">
        <w:rPr>
          <w:rFonts w:ascii="Times New Roman" w:hAnsi="Times New Roman" w:cs="Times New Roman"/>
          <w:i/>
          <w:iCs/>
          <w:sz w:val="24"/>
          <w:szCs w:val="24"/>
        </w:rPr>
        <w:t>96</w:t>
      </w:r>
      <w:r w:rsidRPr="00163768">
        <w:rPr>
          <w:rFonts w:ascii="Times New Roman" w:hAnsi="Times New Roman" w:cs="Times New Roman"/>
          <w:sz w:val="24"/>
          <w:szCs w:val="24"/>
        </w:rPr>
        <w:t xml:space="preserve">(September 2019), 102452. </w:t>
      </w:r>
    </w:p>
    <w:p w14:paraId="2DFE3A51" w14:textId="5D76D847" w:rsidR="00687CB5" w:rsidRPr="00163768" w:rsidRDefault="0088594F" w:rsidP="00C05E69">
      <w:pPr>
        <w:autoSpaceDE w:val="0"/>
        <w:autoSpaceDN w:val="0"/>
        <w:adjustRightInd w:val="0"/>
        <w:ind w:left="567" w:hanging="425"/>
        <w:jc w:val="both"/>
        <w:rPr>
          <w:rFonts w:ascii="Times New Roman" w:hAnsi="Times New Roman" w:cs="Times New Roman"/>
          <w:sz w:val="24"/>
          <w:szCs w:val="24"/>
        </w:rPr>
      </w:pPr>
      <w:r w:rsidRPr="00163768">
        <w:rPr>
          <w:rFonts w:ascii="Times New Roman" w:hAnsi="Times New Roman" w:cs="Times New Roman"/>
          <w:sz w:val="24"/>
          <w:szCs w:val="24"/>
        </w:rPr>
        <w:t xml:space="preserve">Beames, A., Broekx, S., Schneidewind, U., Landuyt, D., van der Meulen, M., Heijungs, R., &amp; Seuntjens, P. (2018). Amenity proximity analysis for sustainable brownfield redevelopment planning. </w:t>
      </w:r>
      <w:r w:rsidRPr="00163768">
        <w:rPr>
          <w:rFonts w:ascii="Times New Roman" w:hAnsi="Times New Roman" w:cs="Times New Roman"/>
          <w:i/>
          <w:iCs/>
          <w:sz w:val="24"/>
          <w:szCs w:val="24"/>
        </w:rPr>
        <w:t>Landscape and Urban Planning</w:t>
      </w:r>
      <w:r w:rsidRPr="00163768">
        <w:rPr>
          <w:rFonts w:ascii="Times New Roman" w:hAnsi="Times New Roman" w:cs="Times New Roman"/>
          <w:sz w:val="24"/>
          <w:szCs w:val="24"/>
        </w:rPr>
        <w:t xml:space="preserve">, </w:t>
      </w:r>
      <w:r w:rsidRPr="00163768">
        <w:rPr>
          <w:rFonts w:ascii="Times New Roman" w:hAnsi="Times New Roman" w:cs="Times New Roman"/>
          <w:i/>
          <w:iCs/>
          <w:sz w:val="24"/>
          <w:szCs w:val="24"/>
        </w:rPr>
        <w:t>171</w:t>
      </w:r>
      <w:r w:rsidRPr="00163768">
        <w:rPr>
          <w:rFonts w:ascii="Times New Roman" w:hAnsi="Times New Roman" w:cs="Times New Roman"/>
          <w:sz w:val="24"/>
          <w:szCs w:val="24"/>
        </w:rPr>
        <w:t xml:space="preserve">(March), 68–79. </w:t>
      </w:r>
    </w:p>
    <w:p w14:paraId="0D1013C4" w14:textId="38FFE2A2" w:rsidR="00687CB5" w:rsidRPr="00163768" w:rsidRDefault="0088594F" w:rsidP="00C05E69">
      <w:pPr>
        <w:autoSpaceDE w:val="0"/>
        <w:autoSpaceDN w:val="0"/>
        <w:adjustRightInd w:val="0"/>
        <w:ind w:left="567" w:hanging="425"/>
        <w:jc w:val="both"/>
        <w:rPr>
          <w:rFonts w:ascii="Times New Roman" w:hAnsi="Times New Roman" w:cs="Times New Roman"/>
          <w:sz w:val="24"/>
          <w:szCs w:val="24"/>
        </w:rPr>
      </w:pPr>
      <w:r w:rsidRPr="00163768">
        <w:rPr>
          <w:rFonts w:ascii="Times New Roman" w:hAnsi="Times New Roman" w:cs="Times New Roman"/>
          <w:sz w:val="24"/>
          <w:szCs w:val="24"/>
        </w:rPr>
        <w:t xml:space="preserve">Bissonnette, L., Wilson, K., Bell, S., &amp; Shah, T. I. (2012). Neighbourhoods and potential access to health care: The role of spatial and aspatial factors. </w:t>
      </w:r>
      <w:r w:rsidRPr="00163768">
        <w:rPr>
          <w:rFonts w:ascii="Times New Roman" w:hAnsi="Times New Roman" w:cs="Times New Roman"/>
          <w:i/>
          <w:iCs/>
          <w:sz w:val="24"/>
          <w:szCs w:val="24"/>
        </w:rPr>
        <w:t>Health and Place</w:t>
      </w:r>
      <w:r w:rsidRPr="00163768">
        <w:rPr>
          <w:rFonts w:ascii="Times New Roman" w:hAnsi="Times New Roman" w:cs="Times New Roman"/>
          <w:sz w:val="24"/>
          <w:szCs w:val="24"/>
        </w:rPr>
        <w:t xml:space="preserve">, </w:t>
      </w:r>
      <w:r w:rsidRPr="00163768">
        <w:rPr>
          <w:rFonts w:ascii="Times New Roman" w:hAnsi="Times New Roman" w:cs="Times New Roman"/>
          <w:i/>
          <w:iCs/>
          <w:sz w:val="24"/>
          <w:szCs w:val="24"/>
        </w:rPr>
        <w:t>18</w:t>
      </w:r>
      <w:r w:rsidRPr="00163768">
        <w:rPr>
          <w:rFonts w:ascii="Times New Roman" w:hAnsi="Times New Roman" w:cs="Times New Roman"/>
          <w:sz w:val="24"/>
          <w:szCs w:val="24"/>
        </w:rPr>
        <w:t xml:space="preserve">(4), 841–853. </w:t>
      </w:r>
    </w:p>
    <w:p w14:paraId="3CD2ED9E" w14:textId="77777777" w:rsidR="00A9593C" w:rsidRPr="00A9593C" w:rsidRDefault="00A9593C" w:rsidP="00C05E69">
      <w:pPr>
        <w:pStyle w:val="Bibliography"/>
        <w:ind w:left="567" w:hanging="425"/>
        <w:jc w:val="both"/>
        <w:rPr>
          <w:rFonts w:ascii="Times New Roman" w:hAnsi="Times New Roman" w:cs="Times New Roman"/>
          <w:noProof/>
          <w:sz w:val="24"/>
          <w:szCs w:val="24"/>
        </w:rPr>
      </w:pPr>
      <w:r w:rsidRPr="00A9593C">
        <w:rPr>
          <w:rFonts w:ascii="Times New Roman" w:hAnsi="Times New Roman" w:cs="Times New Roman"/>
          <w:noProof/>
          <w:sz w:val="24"/>
          <w:szCs w:val="24"/>
        </w:rPr>
        <w:t xml:space="preserve">BPS. (2019). </w:t>
      </w:r>
      <w:r w:rsidRPr="00A9593C">
        <w:rPr>
          <w:rFonts w:ascii="Times New Roman" w:hAnsi="Times New Roman" w:cs="Times New Roman"/>
          <w:i/>
          <w:iCs/>
          <w:noProof/>
          <w:sz w:val="24"/>
          <w:szCs w:val="24"/>
        </w:rPr>
        <w:t>Statistik Indonesia.</w:t>
      </w:r>
      <w:r w:rsidRPr="00A9593C">
        <w:rPr>
          <w:rFonts w:ascii="Times New Roman" w:hAnsi="Times New Roman" w:cs="Times New Roman"/>
          <w:noProof/>
          <w:sz w:val="24"/>
          <w:szCs w:val="24"/>
        </w:rPr>
        <w:t xml:space="preserve"> Jakarta: Badan Pusat Statistik Indonesia.</w:t>
      </w:r>
    </w:p>
    <w:p w14:paraId="02F28EB5" w14:textId="77777777" w:rsidR="00163768" w:rsidRDefault="00163768" w:rsidP="00C05E69">
      <w:pPr>
        <w:pStyle w:val="Bibliography1"/>
        <w:ind w:left="567" w:hanging="425"/>
        <w:jc w:val="both"/>
        <w:rPr>
          <w:rFonts w:ascii="Times New Roman" w:hAnsi="Times New Roman" w:cs="Times New Roman"/>
          <w:sz w:val="24"/>
          <w:szCs w:val="24"/>
        </w:rPr>
      </w:pPr>
      <w:r>
        <w:rPr>
          <w:rFonts w:ascii="Times New Roman" w:hAnsi="Times New Roman" w:cs="Times New Roman"/>
          <w:sz w:val="24"/>
          <w:szCs w:val="24"/>
        </w:rPr>
        <w:t xml:space="preserve">BPS Provinsi DKI Jakarta. (2018). </w:t>
      </w:r>
      <w:r>
        <w:rPr>
          <w:rFonts w:ascii="Times New Roman" w:hAnsi="Times New Roman" w:cs="Times New Roman"/>
          <w:i/>
          <w:iCs/>
          <w:sz w:val="24"/>
          <w:szCs w:val="24"/>
        </w:rPr>
        <w:t>Statistik Transportasi DKI Jakarta 2018.</w:t>
      </w:r>
      <w:r>
        <w:rPr>
          <w:rFonts w:ascii="Times New Roman" w:hAnsi="Times New Roman" w:cs="Times New Roman"/>
          <w:sz w:val="24"/>
          <w:szCs w:val="24"/>
        </w:rPr>
        <w:t xml:space="preserve"> DKI Jakarta: Badan Pusat Statistik Provinsi DKI Jakarta .</w:t>
      </w:r>
    </w:p>
    <w:p w14:paraId="2E597418" w14:textId="4BA639B7" w:rsidR="00687CB5" w:rsidRPr="00163768" w:rsidRDefault="0088594F" w:rsidP="00C05E69">
      <w:pPr>
        <w:autoSpaceDE w:val="0"/>
        <w:autoSpaceDN w:val="0"/>
        <w:adjustRightInd w:val="0"/>
        <w:ind w:left="567" w:hanging="425"/>
        <w:jc w:val="both"/>
        <w:rPr>
          <w:rFonts w:ascii="Times New Roman" w:hAnsi="Times New Roman" w:cs="Times New Roman"/>
          <w:sz w:val="24"/>
          <w:szCs w:val="24"/>
        </w:rPr>
      </w:pPr>
      <w:r w:rsidRPr="00163768">
        <w:rPr>
          <w:rFonts w:ascii="Times New Roman" w:hAnsi="Times New Roman" w:cs="Times New Roman"/>
          <w:sz w:val="24"/>
          <w:szCs w:val="24"/>
        </w:rPr>
        <w:t xml:space="preserve">De Vos, J., &amp; Witlox, F. (2013). Transportation policy as spatial planning tool; Reducing urban sprawl by increasing travel costs and clustering infrastructure and public transportation. </w:t>
      </w:r>
      <w:r w:rsidRPr="00163768">
        <w:rPr>
          <w:rFonts w:ascii="Times New Roman" w:hAnsi="Times New Roman" w:cs="Times New Roman"/>
          <w:i/>
          <w:iCs/>
          <w:sz w:val="24"/>
          <w:szCs w:val="24"/>
        </w:rPr>
        <w:t>Journal of Transport Geography</w:t>
      </w:r>
      <w:r w:rsidRPr="00163768">
        <w:rPr>
          <w:rFonts w:ascii="Times New Roman" w:hAnsi="Times New Roman" w:cs="Times New Roman"/>
          <w:sz w:val="24"/>
          <w:szCs w:val="24"/>
        </w:rPr>
        <w:t xml:space="preserve">, </w:t>
      </w:r>
      <w:r w:rsidRPr="00163768">
        <w:rPr>
          <w:rFonts w:ascii="Times New Roman" w:hAnsi="Times New Roman" w:cs="Times New Roman"/>
          <w:i/>
          <w:iCs/>
          <w:sz w:val="24"/>
          <w:szCs w:val="24"/>
        </w:rPr>
        <w:t>33</w:t>
      </w:r>
      <w:r w:rsidRPr="00163768">
        <w:rPr>
          <w:rFonts w:ascii="Times New Roman" w:hAnsi="Times New Roman" w:cs="Times New Roman"/>
          <w:sz w:val="24"/>
          <w:szCs w:val="24"/>
        </w:rPr>
        <w:t xml:space="preserve">, 117–125. </w:t>
      </w:r>
    </w:p>
    <w:p w14:paraId="38C79B5B" w14:textId="43010BA7" w:rsidR="00687CB5" w:rsidRPr="00163768" w:rsidRDefault="0088594F" w:rsidP="00C05E69">
      <w:pPr>
        <w:autoSpaceDE w:val="0"/>
        <w:autoSpaceDN w:val="0"/>
        <w:adjustRightInd w:val="0"/>
        <w:ind w:left="567" w:hanging="425"/>
        <w:jc w:val="both"/>
        <w:rPr>
          <w:rFonts w:ascii="Times New Roman" w:hAnsi="Times New Roman" w:cs="Times New Roman"/>
          <w:sz w:val="24"/>
          <w:szCs w:val="24"/>
        </w:rPr>
      </w:pPr>
      <w:r w:rsidRPr="00163768">
        <w:rPr>
          <w:rFonts w:ascii="Times New Roman" w:hAnsi="Times New Roman" w:cs="Times New Roman"/>
          <w:sz w:val="24"/>
          <w:szCs w:val="24"/>
        </w:rPr>
        <w:t xml:space="preserve">Du, Y., Deng, F., &amp; Liao, F. (2019). A model framework for discovering the spatio-temporal usage patterns of public free-floating bike-sharing system. </w:t>
      </w:r>
      <w:r w:rsidRPr="00163768">
        <w:rPr>
          <w:rFonts w:ascii="Times New Roman" w:hAnsi="Times New Roman" w:cs="Times New Roman"/>
          <w:i/>
          <w:iCs/>
          <w:sz w:val="24"/>
          <w:szCs w:val="24"/>
        </w:rPr>
        <w:t>Transportation Research Part C: Emerging Technologies</w:t>
      </w:r>
      <w:r w:rsidRPr="00163768">
        <w:rPr>
          <w:rFonts w:ascii="Times New Roman" w:hAnsi="Times New Roman" w:cs="Times New Roman"/>
          <w:sz w:val="24"/>
          <w:szCs w:val="24"/>
        </w:rPr>
        <w:t xml:space="preserve">, </w:t>
      </w:r>
      <w:r w:rsidRPr="00163768">
        <w:rPr>
          <w:rFonts w:ascii="Times New Roman" w:hAnsi="Times New Roman" w:cs="Times New Roman"/>
          <w:i/>
          <w:iCs/>
          <w:sz w:val="24"/>
          <w:szCs w:val="24"/>
        </w:rPr>
        <w:t>103</w:t>
      </w:r>
      <w:r w:rsidRPr="00163768">
        <w:rPr>
          <w:rFonts w:ascii="Times New Roman" w:hAnsi="Times New Roman" w:cs="Times New Roman"/>
          <w:sz w:val="24"/>
          <w:szCs w:val="24"/>
        </w:rPr>
        <w:t xml:space="preserve">(April), 39–55. </w:t>
      </w:r>
    </w:p>
    <w:p w14:paraId="5C9FCC59" w14:textId="77777777" w:rsidR="00687CB5" w:rsidRPr="00163768" w:rsidRDefault="0088594F" w:rsidP="00C05E69">
      <w:pPr>
        <w:autoSpaceDE w:val="0"/>
        <w:autoSpaceDN w:val="0"/>
        <w:adjustRightInd w:val="0"/>
        <w:ind w:left="567" w:hanging="425"/>
        <w:jc w:val="both"/>
        <w:rPr>
          <w:rFonts w:ascii="Times New Roman" w:hAnsi="Times New Roman" w:cs="Times New Roman"/>
          <w:sz w:val="24"/>
          <w:szCs w:val="24"/>
        </w:rPr>
      </w:pPr>
      <w:r w:rsidRPr="00163768">
        <w:rPr>
          <w:rFonts w:ascii="Times New Roman" w:hAnsi="Times New Roman" w:cs="Times New Roman"/>
          <w:sz w:val="24"/>
          <w:szCs w:val="24"/>
        </w:rPr>
        <w:t xml:space="preserve">Initiative, I. I. (2011). Urban Mobility. </w:t>
      </w:r>
      <w:r w:rsidRPr="00163768">
        <w:rPr>
          <w:rFonts w:ascii="Times New Roman" w:hAnsi="Times New Roman" w:cs="Times New Roman"/>
          <w:i/>
          <w:iCs/>
          <w:sz w:val="24"/>
          <w:szCs w:val="24"/>
        </w:rPr>
        <w:t>Prakarsa</w:t>
      </w:r>
      <w:r w:rsidRPr="00163768">
        <w:rPr>
          <w:rFonts w:ascii="Times New Roman" w:hAnsi="Times New Roman" w:cs="Times New Roman"/>
          <w:sz w:val="24"/>
          <w:szCs w:val="24"/>
        </w:rPr>
        <w:t xml:space="preserve">, </w:t>
      </w:r>
      <w:r w:rsidRPr="00163768">
        <w:rPr>
          <w:rFonts w:ascii="Times New Roman" w:hAnsi="Times New Roman" w:cs="Times New Roman"/>
          <w:i/>
          <w:iCs/>
          <w:sz w:val="24"/>
          <w:szCs w:val="24"/>
        </w:rPr>
        <w:t>6</w:t>
      </w:r>
      <w:r w:rsidRPr="00163768">
        <w:rPr>
          <w:rFonts w:ascii="Times New Roman" w:hAnsi="Times New Roman" w:cs="Times New Roman"/>
          <w:sz w:val="24"/>
          <w:szCs w:val="24"/>
        </w:rPr>
        <w:t>.</w:t>
      </w:r>
    </w:p>
    <w:p w14:paraId="796F4773" w14:textId="77777777" w:rsidR="00163768" w:rsidRDefault="00163768" w:rsidP="00C05E69">
      <w:pPr>
        <w:pStyle w:val="Bibliography1"/>
        <w:ind w:left="567" w:hanging="425"/>
        <w:jc w:val="both"/>
        <w:rPr>
          <w:rFonts w:ascii="Times New Roman" w:hAnsi="Times New Roman" w:cs="Times New Roman"/>
          <w:sz w:val="24"/>
          <w:szCs w:val="24"/>
        </w:rPr>
      </w:pPr>
      <w:r>
        <w:rPr>
          <w:rFonts w:ascii="Times New Roman" w:hAnsi="Times New Roman" w:cs="Times New Roman"/>
          <w:sz w:val="24"/>
          <w:szCs w:val="24"/>
        </w:rPr>
        <w:t xml:space="preserve">Nisa, K. (2019). </w:t>
      </w:r>
      <w:r>
        <w:rPr>
          <w:rFonts w:ascii="Times New Roman" w:hAnsi="Times New Roman" w:cs="Times New Roman"/>
          <w:i/>
          <w:iCs/>
          <w:sz w:val="24"/>
          <w:szCs w:val="24"/>
        </w:rPr>
        <w:t>KUALITAS UDARA DI PROVINSI DKI JAKARTA.</w:t>
      </w:r>
      <w:r>
        <w:rPr>
          <w:rFonts w:ascii="Times New Roman" w:hAnsi="Times New Roman" w:cs="Times New Roman"/>
          <w:sz w:val="24"/>
          <w:szCs w:val="24"/>
        </w:rPr>
        <w:t xml:space="preserve"> Jakarta: Portal Statistik Sektoral Provinsi DKI Jakarta. Retrieved from http://statistik.jakarta.go.id/kualitas-udara-di-provinsi-dki-jakarta/</w:t>
      </w:r>
    </w:p>
    <w:p w14:paraId="3D14EDCE" w14:textId="77777777" w:rsidR="00687CB5" w:rsidRPr="00163768" w:rsidRDefault="0088594F" w:rsidP="00C05E69">
      <w:pPr>
        <w:autoSpaceDE w:val="0"/>
        <w:autoSpaceDN w:val="0"/>
        <w:adjustRightInd w:val="0"/>
        <w:ind w:left="567" w:hanging="425"/>
        <w:jc w:val="both"/>
        <w:rPr>
          <w:rFonts w:ascii="Times New Roman" w:hAnsi="Times New Roman" w:cs="Times New Roman"/>
          <w:sz w:val="24"/>
          <w:szCs w:val="24"/>
        </w:rPr>
      </w:pPr>
      <w:r w:rsidRPr="00163768">
        <w:rPr>
          <w:rFonts w:ascii="Times New Roman" w:hAnsi="Times New Roman" w:cs="Times New Roman"/>
          <w:sz w:val="24"/>
          <w:szCs w:val="24"/>
        </w:rPr>
        <w:t xml:space="preserve">Rahmatulloh. (2017). Dinamika Kependudukan di Ibukota Jakarta (Deskripsi Perkembangan Kuantitas, Kualitas dan Kesejahteraan Penduduk di DKI Jakarta). </w:t>
      </w:r>
      <w:r w:rsidRPr="00163768">
        <w:rPr>
          <w:rFonts w:ascii="Times New Roman" w:hAnsi="Times New Roman" w:cs="Times New Roman"/>
          <w:i/>
          <w:iCs/>
          <w:sz w:val="24"/>
          <w:szCs w:val="24"/>
        </w:rPr>
        <w:t>Genta Mulia</w:t>
      </w:r>
      <w:r w:rsidRPr="00163768">
        <w:rPr>
          <w:rFonts w:ascii="Times New Roman" w:hAnsi="Times New Roman" w:cs="Times New Roman"/>
          <w:sz w:val="24"/>
          <w:szCs w:val="24"/>
        </w:rPr>
        <w:t xml:space="preserve">, </w:t>
      </w:r>
      <w:r w:rsidRPr="00163768">
        <w:rPr>
          <w:rFonts w:ascii="Times New Roman" w:hAnsi="Times New Roman" w:cs="Times New Roman"/>
          <w:i/>
          <w:iCs/>
          <w:sz w:val="24"/>
          <w:szCs w:val="24"/>
        </w:rPr>
        <w:t>VIII</w:t>
      </w:r>
      <w:r w:rsidRPr="00163768">
        <w:rPr>
          <w:rFonts w:ascii="Times New Roman" w:hAnsi="Times New Roman" w:cs="Times New Roman"/>
          <w:sz w:val="24"/>
          <w:szCs w:val="24"/>
        </w:rPr>
        <w:t>(2), 54–67.</w:t>
      </w:r>
    </w:p>
    <w:p w14:paraId="66F3C862" w14:textId="1A28EE45" w:rsidR="00687CB5" w:rsidRDefault="0088594F" w:rsidP="00481476">
      <w:pPr>
        <w:autoSpaceDE w:val="0"/>
        <w:autoSpaceDN w:val="0"/>
        <w:adjustRightInd w:val="0"/>
        <w:ind w:left="567" w:hanging="425"/>
        <w:jc w:val="both"/>
        <w:rPr>
          <w:rFonts w:ascii="Times New Roman" w:hAnsi="Times New Roman" w:cs="Times New Roman"/>
          <w:sz w:val="24"/>
          <w:szCs w:val="24"/>
        </w:rPr>
      </w:pPr>
      <w:r w:rsidRPr="00163768">
        <w:rPr>
          <w:rFonts w:ascii="Times New Roman" w:hAnsi="Times New Roman" w:cs="Times New Roman"/>
          <w:sz w:val="24"/>
          <w:szCs w:val="24"/>
        </w:rPr>
        <w:t xml:space="preserve">Shatkin, G. (2019). Financial sector actors, the state, and the rescaling of Jakarta’s extended urban region. </w:t>
      </w:r>
      <w:r w:rsidRPr="00163768">
        <w:rPr>
          <w:rFonts w:ascii="Times New Roman" w:hAnsi="Times New Roman" w:cs="Times New Roman"/>
          <w:i/>
          <w:iCs/>
          <w:sz w:val="24"/>
          <w:szCs w:val="24"/>
        </w:rPr>
        <w:t>Land Use Policy</w:t>
      </w:r>
      <w:r w:rsidRPr="00163768">
        <w:rPr>
          <w:rFonts w:ascii="Times New Roman" w:hAnsi="Times New Roman" w:cs="Times New Roman"/>
          <w:sz w:val="24"/>
          <w:szCs w:val="24"/>
        </w:rPr>
        <w:t xml:space="preserve">, </w:t>
      </w:r>
      <w:r w:rsidRPr="00163768">
        <w:rPr>
          <w:rFonts w:ascii="Times New Roman" w:hAnsi="Times New Roman" w:cs="Times New Roman"/>
          <w:i/>
          <w:iCs/>
          <w:sz w:val="24"/>
          <w:szCs w:val="24"/>
        </w:rPr>
        <w:t>May</w:t>
      </w:r>
      <w:r w:rsidRPr="00163768">
        <w:rPr>
          <w:rFonts w:ascii="Times New Roman" w:hAnsi="Times New Roman" w:cs="Times New Roman"/>
          <w:sz w:val="24"/>
          <w:szCs w:val="24"/>
        </w:rPr>
        <w:t xml:space="preserve">, 104159. </w:t>
      </w:r>
    </w:p>
    <w:p w14:paraId="5A12BFCF" w14:textId="220E8B1B" w:rsidR="0020253B" w:rsidRPr="001A4AB6" w:rsidRDefault="0020253B" w:rsidP="00C05E69">
      <w:pPr>
        <w:widowControl/>
        <w:autoSpaceDE w:val="0"/>
        <w:autoSpaceDN w:val="0"/>
        <w:adjustRightInd w:val="0"/>
        <w:ind w:left="567" w:hanging="425"/>
        <w:jc w:val="both"/>
        <w:rPr>
          <w:rFonts w:ascii="Times New Roman" w:hAnsi="Times New Roman" w:cs="Times New Roman"/>
          <w:sz w:val="24"/>
          <w:szCs w:val="24"/>
        </w:rPr>
      </w:pPr>
      <w:r w:rsidRPr="00C05E69">
        <w:rPr>
          <w:rFonts w:ascii="Times New Roman" w:hAnsi="Times New Roman" w:cs="Times New Roman"/>
          <w:color w:val="000000"/>
          <w:sz w:val="24"/>
          <w:szCs w:val="24"/>
          <w:lang w:eastAsia="zh-CN"/>
        </w:rPr>
        <w:t>Tobler</w:t>
      </w:r>
      <w:r>
        <w:rPr>
          <w:rFonts w:ascii="Times New Roman" w:hAnsi="Times New Roman" w:cs="Times New Roman"/>
          <w:color w:val="000000"/>
          <w:sz w:val="24"/>
          <w:szCs w:val="24"/>
          <w:lang w:eastAsia="zh-CN"/>
        </w:rPr>
        <w:t>,</w:t>
      </w:r>
      <w:r w:rsidRPr="00C05E69">
        <w:rPr>
          <w:rFonts w:ascii="Times New Roman" w:hAnsi="Times New Roman" w:cs="Times New Roman"/>
          <w:color w:val="000000"/>
          <w:sz w:val="24"/>
          <w:szCs w:val="24"/>
          <w:lang w:eastAsia="zh-CN"/>
        </w:rPr>
        <w:t xml:space="preserve"> WA.</w:t>
      </w:r>
      <w:r>
        <w:rPr>
          <w:rFonts w:ascii="Times New Roman" w:hAnsi="Times New Roman" w:cs="Times New Roman"/>
          <w:color w:val="000000"/>
          <w:sz w:val="24"/>
          <w:szCs w:val="24"/>
          <w:lang w:eastAsia="zh-CN"/>
        </w:rPr>
        <w:t xml:space="preserve"> (1970).</w:t>
      </w:r>
      <w:r w:rsidRPr="00C05E69">
        <w:rPr>
          <w:rFonts w:ascii="Times New Roman" w:hAnsi="Times New Roman" w:cs="Times New Roman"/>
          <w:color w:val="000000"/>
          <w:sz w:val="24"/>
          <w:szCs w:val="24"/>
          <w:lang w:eastAsia="zh-CN"/>
        </w:rPr>
        <w:t xml:space="preserve"> Computer movie simulating urban growth</w:t>
      </w:r>
      <w:r>
        <w:rPr>
          <w:rFonts w:ascii="Times New Roman" w:hAnsi="Times New Roman" w:cs="Times New Roman"/>
          <w:color w:val="000000"/>
          <w:sz w:val="24"/>
          <w:szCs w:val="24"/>
          <w:lang w:eastAsia="zh-CN"/>
        </w:rPr>
        <w:t xml:space="preserve"> </w:t>
      </w:r>
      <w:r w:rsidRPr="00C05E69">
        <w:rPr>
          <w:rFonts w:ascii="Times New Roman" w:hAnsi="Times New Roman" w:cs="Times New Roman"/>
          <w:color w:val="000000"/>
          <w:sz w:val="24"/>
          <w:szCs w:val="24"/>
          <w:lang w:eastAsia="zh-CN"/>
        </w:rPr>
        <w:t xml:space="preserve">in the Detroit Region. </w:t>
      </w:r>
      <w:r w:rsidRPr="00C05E69">
        <w:rPr>
          <w:rFonts w:ascii="Times New Roman" w:hAnsi="Times New Roman" w:cs="Times New Roman"/>
          <w:i/>
          <w:iCs/>
          <w:color w:val="000000"/>
          <w:sz w:val="24"/>
          <w:szCs w:val="24"/>
          <w:lang w:eastAsia="zh-CN"/>
        </w:rPr>
        <w:t>Econ</w:t>
      </w:r>
      <w:r w:rsidRPr="00C05E69">
        <w:rPr>
          <w:rFonts w:ascii="Times New Roman" w:hAnsi="Times New Roman" w:cs="Times New Roman"/>
          <w:i/>
          <w:iCs/>
          <w:color w:val="000000"/>
          <w:sz w:val="24"/>
          <w:szCs w:val="24"/>
          <w:lang w:eastAsia="zh-CN"/>
        </w:rPr>
        <w:t>omic G</w:t>
      </w:r>
      <w:r w:rsidRPr="00C05E69">
        <w:rPr>
          <w:rFonts w:ascii="Times New Roman" w:hAnsi="Times New Roman" w:cs="Times New Roman"/>
          <w:i/>
          <w:iCs/>
          <w:color w:val="000000"/>
          <w:sz w:val="24"/>
          <w:szCs w:val="24"/>
          <w:lang w:eastAsia="zh-CN"/>
        </w:rPr>
        <w:t>eogr</w:t>
      </w:r>
      <w:r w:rsidRPr="00C05E69">
        <w:rPr>
          <w:rFonts w:ascii="Times New Roman" w:hAnsi="Times New Roman" w:cs="Times New Roman"/>
          <w:i/>
          <w:iCs/>
          <w:color w:val="000000"/>
          <w:sz w:val="24"/>
          <w:szCs w:val="24"/>
          <w:lang w:eastAsia="zh-CN"/>
        </w:rPr>
        <w:t>aphy</w:t>
      </w:r>
      <w:r>
        <w:rPr>
          <w:rFonts w:ascii="Times New Roman" w:hAnsi="Times New Roman" w:cs="Times New Roman"/>
          <w:color w:val="000000"/>
          <w:sz w:val="24"/>
          <w:szCs w:val="24"/>
          <w:lang w:eastAsia="zh-CN"/>
        </w:rPr>
        <w:t>,</w:t>
      </w:r>
      <w:r w:rsidRPr="00C05E69">
        <w:rPr>
          <w:rFonts w:ascii="Times New Roman" w:hAnsi="Times New Roman" w:cs="Times New Roman"/>
          <w:color w:val="000000"/>
          <w:sz w:val="24"/>
          <w:szCs w:val="24"/>
          <w:lang w:eastAsia="zh-CN"/>
        </w:rPr>
        <w:t xml:space="preserve"> </w:t>
      </w:r>
      <w:r w:rsidRPr="00C05E69">
        <w:rPr>
          <w:rFonts w:ascii="Times New Roman" w:hAnsi="Times New Roman" w:cs="Times New Roman"/>
          <w:i/>
          <w:iCs/>
          <w:color w:val="000000"/>
          <w:sz w:val="24"/>
          <w:szCs w:val="24"/>
          <w:lang w:eastAsia="zh-CN"/>
        </w:rPr>
        <w:t>46</w:t>
      </w:r>
      <w:r>
        <w:rPr>
          <w:rFonts w:ascii="Times New Roman" w:hAnsi="Times New Roman" w:cs="Times New Roman"/>
          <w:color w:val="000000"/>
          <w:sz w:val="24"/>
          <w:szCs w:val="24"/>
          <w:lang w:eastAsia="zh-CN"/>
        </w:rPr>
        <w:t xml:space="preserve">, </w:t>
      </w:r>
      <w:r w:rsidRPr="00C05E69">
        <w:rPr>
          <w:rFonts w:ascii="Times New Roman" w:hAnsi="Times New Roman" w:cs="Times New Roman"/>
          <w:color w:val="000000"/>
          <w:sz w:val="24"/>
          <w:szCs w:val="24"/>
          <w:lang w:eastAsia="zh-CN"/>
        </w:rPr>
        <w:t>234</w:t>
      </w:r>
      <w:r>
        <w:rPr>
          <w:rFonts w:ascii="Times New Roman" w:hAnsi="Times New Roman" w:cs="Times New Roman"/>
          <w:color w:val="000000"/>
          <w:sz w:val="24"/>
          <w:szCs w:val="24"/>
          <w:lang w:eastAsia="zh-CN"/>
        </w:rPr>
        <w:t>-240</w:t>
      </w:r>
      <w:r w:rsidRPr="00C05E69">
        <w:rPr>
          <w:rFonts w:ascii="Times New Roman" w:hAnsi="Times New Roman" w:cs="Times New Roman"/>
          <w:color w:val="000000"/>
          <w:sz w:val="24"/>
          <w:szCs w:val="24"/>
          <w:lang w:eastAsia="zh-CN"/>
        </w:rPr>
        <w:t>.</w:t>
      </w:r>
    </w:p>
    <w:p w14:paraId="315B3B8F" w14:textId="2176E116" w:rsidR="00163768" w:rsidRDefault="00163130" w:rsidP="00C05E69">
      <w:pPr>
        <w:pStyle w:val="Bibliography1"/>
        <w:ind w:left="567" w:hanging="425"/>
        <w:jc w:val="both"/>
      </w:pPr>
      <w:sdt>
        <w:sdtPr>
          <w:id w:val="111145805"/>
        </w:sdtPr>
        <w:sdtEndPr/>
        <w:sdtContent>
          <w:r w:rsidR="00163768">
            <w:rPr>
              <w:rFonts w:ascii="Times New Roman" w:hAnsi="Times New Roman" w:cs="Times New Roman"/>
              <w:sz w:val="24"/>
              <w:szCs w:val="24"/>
            </w:rPr>
            <w:fldChar w:fldCharType="begin"/>
          </w:r>
          <w:r w:rsidR="00163768" w:rsidRPr="00A9593C">
            <w:rPr>
              <w:rFonts w:ascii="Times New Roman" w:hAnsi="Times New Roman" w:cs="Times New Roman"/>
              <w:sz w:val="24"/>
              <w:szCs w:val="24"/>
            </w:rPr>
            <w:instrText xml:space="preserve"> BIBLIOGRAPHY </w:instrText>
          </w:r>
          <w:r w:rsidR="00163768">
            <w:rPr>
              <w:rFonts w:ascii="Times New Roman" w:hAnsi="Times New Roman" w:cs="Times New Roman"/>
              <w:sz w:val="24"/>
              <w:szCs w:val="24"/>
            </w:rPr>
            <w:fldChar w:fldCharType="separate"/>
          </w:r>
          <w:r w:rsidR="00163768">
            <w:rPr>
              <w:rFonts w:ascii="Times New Roman" w:hAnsi="Times New Roman" w:cs="Times New Roman"/>
              <w:sz w:val="24"/>
              <w:szCs w:val="24"/>
            </w:rPr>
            <w:t xml:space="preserve">United Nation. (2018). </w:t>
          </w:r>
          <w:r w:rsidR="00163768">
            <w:rPr>
              <w:rFonts w:ascii="Times New Roman" w:hAnsi="Times New Roman" w:cs="Times New Roman"/>
              <w:i/>
              <w:iCs/>
              <w:sz w:val="24"/>
              <w:szCs w:val="24"/>
            </w:rPr>
            <w:t>68% of the world population projected to live in urban areas by 2050, says UN.</w:t>
          </w:r>
          <w:r w:rsidR="00163768">
            <w:rPr>
              <w:rFonts w:ascii="Times New Roman" w:hAnsi="Times New Roman" w:cs="Times New Roman"/>
              <w:sz w:val="24"/>
              <w:szCs w:val="24"/>
            </w:rPr>
            <w:t xml:space="preserve"> United Nations, Department of Economic and Social Affairs. New York: Population Division of the United Nations Department of Economic and Social Affairs. </w:t>
          </w:r>
          <w:r w:rsidR="00163768">
            <w:rPr>
              <w:rFonts w:ascii="Times New Roman" w:hAnsi="Times New Roman" w:cs="Times New Roman"/>
              <w:b/>
              <w:bCs/>
              <w:sz w:val="24"/>
              <w:szCs w:val="24"/>
            </w:rPr>
            <w:fldChar w:fldCharType="end"/>
          </w:r>
        </w:sdtContent>
      </w:sdt>
    </w:p>
    <w:p w14:paraId="14089C44" w14:textId="68A5D185" w:rsidR="00687CB5" w:rsidRPr="00163768" w:rsidRDefault="0088594F" w:rsidP="00C05E69">
      <w:pPr>
        <w:autoSpaceDE w:val="0"/>
        <w:autoSpaceDN w:val="0"/>
        <w:adjustRightInd w:val="0"/>
        <w:ind w:left="567" w:hanging="425"/>
        <w:jc w:val="both"/>
        <w:rPr>
          <w:rFonts w:ascii="Times New Roman" w:hAnsi="Times New Roman" w:cs="Times New Roman"/>
          <w:sz w:val="24"/>
          <w:szCs w:val="24"/>
        </w:rPr>
      </w:pPr>
      <w:r w:rsidRPr="00163768">
        <w:rPr>
          <w:rFonts w:ascii="Times New Roman" w:hAnsi="Times New Roman" w:cs="Times New Roman"/>
          <w:sz w:val="24"/>
          <w:szCs w:val="24"/>
        </w:rPr>
        <w:t xml:space="preserve">Vecchio, G., &amp; Tricarico, L. (2019). “May the Force move you”: Roles and actors of information sharing devices in urban mobility. </w:t>
      </w:r>
      <w:r w:rsidRPr="00163768">
        <w:rPr>
          <w:rFonts w:ascii="Times New Roman" w:hAnsi="Times New Roman" w:cs="Times New Roman"/>
          <w:i/>
          <w:iCs/>
          <w:sz w:val="24"/>
          <w:szCs w:val="24"/>
        </w:rPr>
        <w:t>Cities</w:t>
      </w:r>
      <w:r w:rsidRPr="00163768">
        <w:rPr>
          <w:rFonts w:ascii="Times New Roman" w:hAnsi="Times New Roman" w:cs="Times New Roman"/>
          <w:sz w:val="24"/>
          <w:szCs w:val="24"/>
        </w:rPr>
        <w:t xml:space="preserve">, </w:t>
      </w:r>
      <w:r w:rsidRPr="00163768">
        <w:rPr>
          <w:rFonts w:ascii="Times New Roman" w:hAnsi="Times New Roman" w:cs="Times New Roman"/>
          <w:i/>
          <w:iCs/>
          <w:sz w:val="24"/>
          <w:szCs w:val="24"/>
        </w:rPr>
        <w:t>88</w:t>
      </w:r>
      <w:r w:rsidRPr="00163768">
        <w:rPr>
          <w:rFonts w:ascii="Times New Roman" w:hAnsi="Times New Roman" w:cs="Times New Roman"/>
          <w:sz w:val="24"/>
          <w:szCs w:val="24"/>
        </w:rPr>
        <w:t xml:space="preserve">(November 2018), 261–268. </w:t>
      </w:r>
    </w:p>
    <w:p w14:paraId="295FA2D6" w14:textId="3C63D4ED" w:rsidR="00687CB5" w:rsidRPr="00163768" w:rsidRDefault="0088594F" w:rsidP="00C05E69">
      <w:pPr>
        <w:autoSpaceDE w:val="0"/>
        <w:autoSpaceDN w:val="0"/>
        <w:adjustRightInd w:val="0"/>
        <w:ind w:left="567" w:hanging="425"/>
        <w:jc w:val="both"/>
        <w:rPr>
          <w:rFonts w:ascii="Times New Roman" w:hAnsi="Times New Roman" w:cs="Times New Roman"/>
          <w:sz w:val="24"/>
          <w:szCs w:val="24"/>
        </w:rPr>
      </w:pPr>
      <w:r w:rsidRPr="00163768">
        <w:rPr>
          <w:rFonts w:ascii="Times New Roman" w:hAnsi="Times New Roman" w:cs="Times New Roman"/>
          <w:sz w:val="24"/>
          <w:szCs w:val="24"/>
        </w:rPr>
        <w:t xml:space="preserve">Widaningrum, D. L., Surjandari, I., &amp; Sudiana, D. (2020). Discovering spatial patterns of fast-food restaurants in Jakarta, Indonesia. </w:t>
      </w:r>
      <w:r w:rsidRPr="00163768">
        <w:rPr>
          <w:rFonts w:ascii="Times New Roman" w:hAnsi="Times New Roman" w:cs="Times New Roman"/>
          <w:i/>
          <w:iCs/>
          <w:sz w:val="24"/>
          <w:szCs w:val="24"/>
        </w:rPr>
        <w:t>Journal of Industrial and Production Engineering</w:t>
      </w:r>
      <w:r w:rsidRPr="00163768">
        <w:rPr>
          <w:rFonts w:ascii="Times New Roman" w:hAnsi="Times New Roman" w:cs="Times New Roman"/>
          <w:sz w:val="24"/>
          <w:szCs w:val="24"/>
        </w:rPr>
        <w:t xml:space="preserve">, </w:t>
      </w:r>
      <w:r w:rsidRPr="00163768">
        <w:rPr>
          <w:rFonts w:ascii="Times New Roman" w:hAnsi="Times New Roman" w:cs="Times New Roman"/>
          <w:i/>
          <w:iCs/>
          <w:sz w:val="24"/>
          <w:szCs w:val="24"/>
        </w:rPr>
        <w:t>00</w:t>
      </w:r>
      <w:r w:rsidRPr="00163768">
        <w:rPr>
          <w:rFonts w:ascii="Times New Roman" w:hAnsi="Times New Roman" w:cs="Times New Roman"/>
          <w:sz w:val="24"/>
          <w:szCs w:val="24"/>
        </w:rPr>
        <w:t xml:space="preserve">(00), 1–19. </w:t>
      </w:r>
    </w:p>
    <w:p w14:paraId="54F6C62E" w14:textId="5CEC5A5E" w:rsidR="00687CB5" w:rsidRDefault="0088594F" w:rsidP="00C05E69">
      <w:pPr>
        <w:autoSpaceDE w:val="0"/>
        <w:autoSpaceDN w:val="0"/>
        <w:adjustRightInd w:val="0"/>
        <w:ind w:left="567" w:hanging="425"/>
        <w:jc w:val="both"/>
      </w:pPr>
      <w:r w:rsidRPr="00163768">
        <w:rPr>
          <w:rFonts w:ascii="Times New Roman" w:hAnsi="Times New Roman" w:cs="Times New Roman"/>
          <w:sz w:val="24"/>
          <w:szCs w:val="24"/>
        </w:rPr>
        <w:t xml:space="preserve">Zhen, F., Qin, X., Ye, X., Sun, H., &amp; Luosang, Z. (2019). Analyzing urban development patterns based on the flow analysis method. </w:t>
      </w:r>
      <w:r w:rsidRPr="00163768">
        <w:rPr>
          <w:rFonts w:ascii="Times New Roman" w:hAnsi="Times New Roman" w:cs="Times New Roman"/>
          <w:i/>
          <w:iCs/>
          <w:sz w:val="24"/>
          <w:szCs w:val="24"/>
        </w:rPr>
        <w:t>Cities</w:t>
      </w:r>
      <w:r w:rsidRPr="00163768">
        <w:rPr>
          <w:rFonts w:ascii="Times New Roman" w:hAnsi="Times New Roman" w:cs="Times New Roman"/>
          <w:sz w:val="24"/>
          <w:szCs w:val="24"/>
        </w:rPr>
        <w:t xml:space="preserve">, </w:t>
      </w:r>
      <w:r w:rsidRPr="00163768">
        <w:rPr>
          <w:rFonts w:ascii="Times New Roman" w:hAnsi="Times New Roman" w:cs="Times New Roman"/>
          <w:i/>
          <w:iCs/>
          <w:sz w:val="24"/>
          <w:szCs w:val="24"/>
        </w:rPr>
        <w:t>86</w:t>
      </w:r>
      <w:r w:rsidRPr="00163768">
        <w:rPr>
          <w:rFonts w:ascii="Times New Roman" w:hAnsi="Times New Roman" w:cs="Times New Roman"/>
          <w:sz w:val="24"/>
          <w:szCs w:val="24"/>
        </w:rPr>
        <w:t xml:space="preserve">(October 2018), 178–197. </w:t>
      </w:r>
      <w:r w:rsidRPr="00163768">
        <w:rPr>
          <w:rFonts w:ascii="Times New Roman" w:hAnsi="Times New Roman" w:cs="Times New Roman"/>
          <w:sz w:val="24"/>
          <w:szCs w:val="24"/>
        </w:rPr>
        <w:fldChar w:fldCharType="end"/>
      </w:r>
    </w:p>
    <w:sectPr w:rsidR="00687CB5" w:rsidSect="00491D1A">
      <w:pgSz w:w="11910" w:h="16840" w:code="9"/>
      <w:pgMar w:top="1474" w:right="1247" w:bottom="1247" w:left="136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F2CE1"/>
    <w:multiLevelType w:val="hybridMultilevel"/>
    <w:tmpl w:val="2424BC12"/>
    <w:lvl w:ilvl="0" w:tplc="CBBC708C">
      <w:start w:val="1"/>
      <w:numFmt w:val="lowerLetter"/>
      <w:lvlText w:val="(%1)"/>
      <w:lvlJc w:val="left"/>
      <w:pPr>
        <w:ind w:left="5045" w:hanging="4575"/>
      </w:pPr>
      <w:rPr>
        <w:rFonts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1" w15:restartNumberingAfterBreak="0">
    <w:nsid w:val="0E6A395B"/>
    <w:multiLevelType w:val="hybridMultilevel"/>
    <w:tmpl w:val="BA8631DE"/>
    <w:lvl w:ilvl="0" w:tplc="A274D7A6">
      <w:start w:val="1"/>
      <w:numFmt w:val="lowerLetter"/>
      <w:lvlText w:val="(%1)"/>
      <w:lvlJc w:val="left"/>
      <w:pPr>
        <w:ind w:left="3240" w:hanging="360"/>
      </w:pPr>
      <w:rPr>
        <w:rFonts w:hint="default"/>
      </w:rPr>
    </w:lvl>
    <w:lvl w:ilvl="1" w:tplc="04090019" w:tentative="1">
      <w:start w:val="1"/>
      <w:numFmt w:val="lowerLetter"/>
      <w:lvlText w:val="%2)"/>
      <w:lvlJc w:val="left"/>
      <w:pPr>
        <w:ind w:left="3720" w:hanging="420"/>
      </w:pPr>
    </w:lvl>
    <w:lvl w:ilvl="2" w:tplc="0409001B" w:tentative="1">
      <w:start w:val="1"/>
      <w:numFmt w:val="lowerRoman"/>
      <w:lvlText w:val="%3."/>
      <w:lvlJc w:val="right"/>
      <w:pPr>
        <w:ind w:left="4140" w:hanging="420"/>
      </w:pPr>
    </w:lvl>
    <w:lvl w:ilvl="3" w:tplc="0409000F" w:tentative="1">
      <w:start w:val="1"/>
      <w:numFmt w:val="decimal"/>
      <w:lvlText w:val="%4."/>
      <w:lvlJc w:val="left"/>
      <w:pPr>
        <w:ind w:left="4560" w:hanging="420"/>
      </w:pPr>
    </w:lvl>
    <w:lvl w:ilvl="4" w:tplc="04090019" w:tentative="1">
      <w:start w:val="1"/>
      <w:numFmt w:val="lowerLetter"/>
      <w:lvlText w:val="%5)"/>
      <w:lvlJc w:val="left"/>
      <w:pPr>
        <w:ind w:left="4980" w:hanging="420"/>
      </w:pPr>
    </w:lvl>
    <w:lvl w:ilvl="5" w:tplc="0409001B" w:tentative="1">
      <w:start w:val="1"/>
      <w:numFmt w:val="lowerRoman"/>
      <w:lvlText w:val="%6."/>
      <w:lvlJc w:val="right"/>
      <w:pPr>
        <w:ind w:left="5400" w:hanging="420"/>
      </w:pPr>
    </w:lvl>
    <w:lvl w:ilvl="6" w:tplc="0409000F" w:tentative="1">
      <w:start w:val="1"/>
      <w:numFmt w:val="decimal"/>
      <w:lvlText w:val="%7."/>
      <w:lvlJc w:val="left"/>
      <w:pPr>
        <w:ind w:left="5820" w:hanging="420"/>
      </w:pPr>
    </w:lvl>
    <w:lvl w:ilvl="7" w:tplc="04090019" w:tentative="1">
      <w:start w:val="1"/>
      <w:numFmt w:val="lowerLetter"/>
      <w:lvlText w:val="%8)"/>
      <w:lvlJc w:val="left"/>
      <w:pPr>
        <w:ind w:left="6240" w:hanging="420"/>
      </w:pPr>
    </w:lvl>
    <w:lvl w:ilvl="8" w:tplc="0409001B" w:tentative="1">
      <w:start w:val="1"/>
      <w:numFmt w:val="lowerRoman"/>
      <w:lvlText w:val="%9."/>
      <w:lvlJc w:val="right"/>
      <w:pPr>
        <w:ind w:left="6660" w:hanging="420"/>
      </w:pPr>
    </w:lvl>
  </w:abstractNum>
  <w:abstractNum w:abstractNumId="2" w15:restartNumberingAfterBreak="0">
    <w:nsid w:val="140D677C"/>
    <w:multiLevelType w:val="multilevel"/>
    <w:tmpl w:val="140D677C"/>
    <w:lvl w:ilvl="0">
      <w:start w:val="1"/>
      <w:numFmt w:val="decimal"/>
      <w:lvlText w:val="%1."/>
      <w:lvlJc w:val="left"/>
      <w:pPr>
        <w:ind w:left="421" w:hanging="302"/>
      </w:pPr>
      <w:rPr>
        <w:rFonts w:ascii="Times New Roman" w:eastAsia="Times New Roman" w:hAnsi="Times New Roman" w:hint="default"/>
        <w:b/>
        <w:bCs/>
        <w:sz w:val="24"/>
        <w:szCs w:val="24"/>
      </w:rPr>
    </w:lvl>
    <w:lvl w:ilvl="1">
      <w:start w:val="1"/>
      <w:numFmt w:val="decimal"/>
      <w:lvlText w:val="%1.%2"/>
      <w:lvlJc w:val="left"/>
      <w:pPr>
        <w:ind w:left="791" w:hanging="365"/>
      </w:pPr>
      <w:rPr>
        <w:rFonts w:ascii="Times New Roman" w:eastAsia="Times New Roman" w:hAnsi="Times New Roman" w:hint="default"/>
        <w:b/>
        <w:bCs/>
        <w:sz w:val="24"/>
        <w:szCs w:val="24"/>
      </w:rPr>
    </w:lvl>
    <w:lvl w:ilvl="2">
      <w:start w:val="1"/>
      <w:numFmt w:val="decimal"/>
      <w:lvlText w:val="%1.%2.%3"/>
      <w:lvlJc w:val="left"/>
      <w:pPr>
        <w:ind w:left="119" w:hanging="557"/>
      </w:pPr>
      <w:rPr>
        <w:rFonts w:ascii="Times New Roman" w:eastAsia="Times New Roman" w:hAnsi="Times New Roman" w:hint="default"/>
        <w:b/>
        <w:bCs/>
        <w:sz w:val="24"/>
        <w:szCs w:val="24"/>
      </w:rPr>
    </w:lvl>
    <w:lvl w:ilvl="3">
      <w:start w:val="1"/>
      <w:numFmt w:val="bullet"/>
      <w:lvlText w:val="•"/>
      <w:lvlJc w:val="left"/>
      <w:pPr>
        <w:ind w:left="421" w:hanging="557"/>
      </w:pPr>
      <w:rPr>
        <w:rFonts w:hint="default"/>
      </w:rPr>
    </w:lvl>
    <w:lvl w:ilvl="4">
      <w:start w:val="1"/>
      <w:numFmt w:val="bullet"/>
      <w:lvlText w:val="•"/>
      <w:lvlJc w:val="left"/>
      <w:pPr>
        <w:ind w:left="484" w:hanging="557"/>
      </w:pPr>
      <w:rPr>
        <w:rFonts w:hint="default"/>
      </w:rPr>
    </w:lvl>
    <w:lvl w:ilvl="5">
      <w:start w:val="1"/>
      <w:numFmt w:val="bullet"/>
      <w:lvlText w:val="•"/>
      <w:lvlJc w:val="left"/>
      <w:pPr>
        <w:ind w:left="484" w:hanging="557"/>
      </w:pPr>
      <w:rPr>
        <w:rFonts w:hint="default"/>
      </w:rPr>
    </w:lvl>
    <w:lvl w:ilvl="6">
      <w:start w:val="1"/>
      <w:numFmt w:val="bullet"/>
      <w:lvlText w:val="•"/>
      <w:lvlJc w:val="left"/>
      <w:pPr>
        <w:ind w:left="484" w:hanging="557"/>
      </w:pPr>
      <w:rPr>
        <w:rFonts w:hint="default"/>
      </w:rPr>
    </w:lvl>
    <w:lvl w:ilvl="7">
      <w:start w:val="1"/>
      <w:numFmt w:val="bullet"/>
      <w:lvlText w:val="•"/>
      <w:lvlJc w:val="left"/>
      <w:pPr>
        <w:ind w:left="2749" w:hanging="557"/>
      </w:pPr>
      <w:rPr>
        <w:rFonts w:hint="default"/>
      </w:rPr>
    </w:lvl>
    <w:lvl w:ilvl="8">
      <w:start w:val="1"/>
      <w:numFmt w:val="bullet"/>
      <w:lvlText w:val="•"/>
      <w:lvlJc w:val="left"/>
      <w:pPr>
        <w:ind w:left="5014" w:hanging="557"/>
      </w:pPr>
      <w:rPr>
        <w:rFonts w:hint="default"/>
      </w:rPr>
    </w:lvl>
  </w:abstractNum>
  <w:abstractNum w:abstractNumId="3" w15:restartNumberingAfterBreak="0">
    <w:nsid w:val="55A42D24"/>
    <w:multiLevelType w:val="hybridMultilevel"/>
    <w:tmpl w:val="FC4804EE"/>
    <w:lvl w:ilvl="0" w:tplc="BA22445C">
      <w:start w:val="1"/>
      <w:numFmt w:val="lowerLetter"/>
      <w:lvlText w:val="(%1)"/>
      <w:lvlJc w:val="left"/>
      <w:pPr>
        <w:ind w:left="2520" w:hanging="360"/>
      </w:pPr>
      <w:rPr>
        <w:rFonts w:hint="default"/>
      </w:rPr>
    </w:lvl>
    <w:lvl w:ilvl="1" w:tplc="04090019" w:tentative="1">
      <w:start w:val="1"/>
      <w:numFmt w:val="lowerLetter"/>
      <w:lvlText w:val="%2)"/>
      <w:lvlJc w:val="left"/>
      <w:pPr>
        <w:ind w:left="3000" w:hanging="420"/>
      </w:pPr>
    </w:lvl>
    <w:lvl w:ilvl="2" w:tplc="0409001B" w:tentative="1">
      <w:start w:val="1"/>
      <w:numFmt w:val="lowerRoman"/>
      <w:lvlText w:val="%3."/>
      <w:lvlJc w:val="right"/>
      <w:pPr>
        <w:ind w:left="3420" w:hanging="420"/>
      </w:pPr>
    </w:lvl>
    <w:lvl w:ilvl="3" w:tplc="0409000F" w:tentative="1">
      <w:start w:val="1"/>
      <w:numFmt w:val="decimal"/>
      <w:lvlText w:val="%4."/>
      <w:lvlJc w:val="left"/>
      <w:pPr>
        <w:ind w:left="3840" w:hanging="420"/>
      </w:pPr>
    </w:lvl>
    <w:lvl w:ilvl="4" w:tplc="04090019" w:tentative="1">
      <w:start w:val="1"/>
      <w:numFmt w:val="lowerLetter"/>
      <w:lvlText w:val="%5)"/>
      <w:lvlJc w:val="left"/>
      <w:pPr>
        <w:ind w:left="4260" w:hanging="420"/>
      </w:pPr>
    </w:lvl>
    <w:lvl w:ilvl="5" w:tplc="0409001B" w:tentative="1">
      <w:start w:val="1"/>
      <w:numFmt w:val="lowerRoman"/>
      <w:lvlText w:val="%6."/>
      <w:lvlJc w:val="right"/>
      <w:pPr>
        <w:ind w:left="4680" w:hanging="420"/>
      </w:pPr>
    </w:lvl>
    <w:lvl w:ilvl="6" w:tplc="0409000F" w:tentative="1">
      <w:start w:val="1"/>
      <w:numFmt w:val="decimal"/>
      <w:lvlText w:val="%7."/>
      <w:lvlJc w:val="left"/>
      <w:pPr>
        <w:ind w:left="5100" w:hanging="420"/>
      </w:pPr>
    </w:lvl>
    <w:lvl w:ilvl="7" w:tplc="04090019" w:tentative="1">
      <w:start w:val="1"/>
      <w:numFmt w:val="lowerLetter"/>
      <w:lvlText w:val="%8)"/>
      <w:lvlJc w:val="left"/>
      <w:pPr>
        <w:ind w:left="5520" w:hanging="420"/>
      </w:pPr>
    </w:lvl>
    <w:lvl w:ilvl="8" w:tplc="0409001B" w:tentative="1">
      <w:start w:val="1"/>
      <w:numFmt w:val="lowerRoman"/>
      <w:lvlText w:val="%9."/>
      <w:lvlJc w:val="right"/>
      <w:pPr>
        <w:ind w:left="5940" w:hanging="420"/>
      </w:pPr>
    </w:lvl>
  </w:abstractNum>
  <w:abstractNum w:abstractNumId="4" w15:restartNumberingAfterBreak="0">
    <w:nsid w:val="56C74DE4"/>
    <w:multiLevelType w:val="hybridMultilevel"/>
    <w:tmpl w:val="7DF0D3E8"/>
    <w:lvl w:ilvl="0" w:tplc="B5BC6260">
      <w:start w:val="1"/>
      <w:numFmt w:val="lowerLetter"/>
      <w:lvlText w:val="(%1)"/>
      <w:lvlJc w:val="left"/>
      <w:pPr>
        <w:ind w:left="4080" w:hanging="19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78AF1D66"/>
    <w:multiLevelType w:val="hybridMultilevel"/>
    <w:tmpl w:val="5914C766"/>
    <w:lvl w:ilvl="0" w:tplc="A4BC5154">
      <w:start w:val="1"/>
      <w:numFmt w:val="lowerLetter"/>
      <w:lvlText w:val="(%1)"/>
      <w:lvlJc w:val="left"/>
      <w:pPr>
        <w:ind w:left="3196" w:hanging="360"/>
      </w:pPr>
      <w:rPr>
        <w:rFonts w:hint="default"/>
      </w:rPr>
    </w:lvl>
    <w:lvl w:ilvl="1" w:tplc="04090019" w:tentative="1">
      <w:start w:val="1"/>
      <w:numFmt w:val="lowerLetter"/>
      <w:lvlText w:val="%2)"/>
      <w:lvlJc w:val="left"/>
      <w:pPr>
        <w:ind w:left="3676" w:hanging="420"/>
      </w:pPr>
    </w:lvl>
    <w:lvl w:ilvl="2" w:tplc="0409001B" w:tentative="1">
      <w:start w:val="1"/>
      <w:numFmt w:val="lowerRoman"/>
      <w:lvlText w:val="%3."/>
      <w:lvlJc w:val="right"/>
      <w:pPr>
        <w:ind w:left="4096" w:hanging="420"/>
      </w:pPr>
    </w:lvl>
    <w:lvl w:ilvl="3" w:tplc="0409000F" w:tentative="1">
      <w:start w:val="1"/>
      <w:numFmt w:val="decimal"/>
      <w:lvlText w:val="%4."/>
      <w:lvlJc w:val="left"/>
      <w:pPr>
        <w:ind w:left="4516" w:hanging="420"/>
      </w:pPr>
    </w:lvl>
    <w:lvl w:ilvl="4" w:tplc="04090019" w:tentative="1">
      <w:start w:val="1"/>
      <w:numFmt w:val="lowerLetter"/>
      <w:lvlText w:val="%5)"/>
      <w:lvlJc w:val="left"/>
      <w:pPr>
        <w:ind w:left="4936" w:hanging="420"/>
      </w:pPr>
    </w:lvl>
    <w:lvl w:ilvl="5" w:tplc="0409001B" w:tentative="1">
      <w:start w:val="1"/>
      <w:numFmt w:val="lowerRoman"/>
      <w:lvlText w:val="%6."/>
      <w:lvlJc w:val="right"/>
      <w:pPr>
        <w:ind w:left="5356" w:hanging="420"/>
      </w:pPr>
    </w:lvl>
    <w:lvl w:ilvl="6" w:tplc="0409000F" w:tentative="1">
      <w:start w:val="1"/>
      <w:numFmt w:val="decimal"/>
      <w:lvlText w:val="%7."/>
      <w:lvlJc w:val="left"/>
      <w:pPr>
        <w:ind w:left="5776" w:hanging="420"/>
      </w:pPr>
    </w:lvl>
    <w:lvl w:ilvl="7" w:tplc="04090019" w:tentative="1">
      <w:start w:val="1"/>
      <w:numFmt w:val="lowerLetter"/>
      <w:lvlText w:val="%8)"/>
      <w:lvlJc w:val="left"/>
      <w:pPr>
        <w:ind w:left="6196" w:hanging="420"/>
      </w:pPr>
    </w:lvl>
    <w:lvl w:ilvl="8" w:tplc="0409001B" w:tentative="1">
      <w:start w:val="1"/>
      <w:numFmt w:val="lowerRoman"/>
      <w:lvlText w:val="%9."/>
      <w:lvlJc w:val="right"/>
      <w:pPr>
        <w:ind w:left="6616" w:hanging="420"/>
      </w:pPr>
    </w:lvl>
  </w:abstractNum>
  <w:num w:numId="1">
    <w:abstractNumId w:val="2"/>
  </w:num>
  <w:num w:numId="2">
    <w:abstractNumId w:val="1"/>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QxMTM3NDQ3N7WwNDNV0lEKTi0uzszPAykwqQUAxB/wAiwAAAA="/>
  </w:docVars>
  <w:rsids>
    <w:rsidRoot w:val="00AC43AD"/>
    <w:rsid w:val="00003525"/>
    <w:rsid w:val="00026D1A"/>
    <w:rsid w:val="000519BF"/>
    <w:rsid w:val="00054CC5"/>
    <w:rsid w:val="0007515A"/>
    <w:rsid w:val="00111015"/>
    <w:rsid w:val="001270A6"/>
    <w:rsid w:val="00163130"/>
    <w:rsid w:val="00163768"/>
    <w:rsid w:val="00166A0A"/>
    <w:rsid w:val="0017004D"/>
    <w:rsid w:val="0017461F"/>
    <w:rsid w:val="00181813"/>
    <w:rsid w:val="001A49B5"/>
    <w:rsid w:val="001A4AB6"/>
    <w:rsid w:val="0020253B"/>
    <w:rsid w:val="002A2313"/>
    <w:rsid w:val="002C0333"/>
    <w:rsid w:val="00312B2D"/>
    <w:rsid w:val="003133D9"/>
    <w:rsid w:val="00397653"/>
    <w:rsid w:val="003A0AC3"/>
    <w:rsid w:val="003A7517"/>
    <w:rsid w:val="003D449D"/>
    <w:rsid w:val="00437229"/>
    <w:rsid w:val="004576F0"/>
    <w:rsid w:val="00481476"/>
    <w:rsid w:val="00491D1A"/>
    <w:rsid w:val="004D6C2B"/>
    <w:rsid w:val="00503653"/>
    <w:rsid w:val="00504A84"/>
    <w:rsid w:val="0056668F"/>
    <w:rsid w:val="00597F2E"/>
    <w:rsid w:val="005B1ACC"/>
    <w:rsid w:val="005E0CF5"/>
    <w:rsid w:val="00617E1D"/>
    <w:rsid w:val="00640B7A"/>
    <w:rsid w:val="00687CB5"/>
    <w:rsid w:val="00693A68"/>
    <w:rsid w:val="006A6513"/>
    <w:rsid w:val="0074582C"/>
    <w:rsid w:val="00773D52"/>
    <w:rsid w:val="007C0C08"/>
    <w:rsid w:val="00812896"/>
    <w:rsid w:val="008417A6"/>
    <w:rsid w:val="00844CC1"/>
    <w:rsid w:val="00881009"/>
    <w:rsid w:val="0088594F"/>
    <w:rsid w:val="00885D62"/>
    <w:rsid w:val="008A273D"/>
    <w:rsid w:val="008C251A"/>
    <w:rsid w:val="00907CB7"/>
    <w:rsid w:val="00930F9F"/>
    <w:rsid w:val="0097246F"/>
    <w:rsid w:val="009847D2"/>
    <w:rsid w:val="00994142"/>
    <w:rsid w:val="009D0A20"/>
    <w:rsid w:val="009D76D6"/>
    <w:rsid w:val="00A56FD5"/>
    <w:rsid w:val="00A93BCC"/>
    <w:rsid w:val="00A9593C"/>
    <w:rsid w:val="00AC43AD"/>
    <w:rsid w:val="00B04ABC"/>
    <w:rsid w:val="00B102E1"/>
    <w:rsid w:val="00B16C0E"/>
    <w:rsid w:val="00B4048A"/>
    <w:rsid w:val="00B65B57"/>
    <w:rsid w:val="00C05E69"/>
    <w:rsid w:val="00C062F4"/>
    <w:rsid w:val="00C53878"/>
    <w:rsid w:val="00C70C0F"/>
    <w:rsid w:val="00C84CE0"/>
    <w:rsid w:val="00CA557C"/>
    <w:rsid w:val="00CD28C3"/>
    <w:rsid w:val="00CD3A09"/>
    <w:rsid w:val="00D15681"/>
    <w:rsid w:val="00D23533"/>
    <w:rsid w:val="00D561F6"/>
    <w:rsid w:val="00DC52B2"/>
    <w:rsid w:val="00E1145E"/>
    <w:rsid w:val="00E138A5"/>
    <w:rsid w:val="00E345F2"/>
    <w:rsid w:val="00E96BFC"/>
    <w:rsid w:val="00EC3F03"/>
    <w:rsid w:val="00EC4CB5"/>
    <w:rsid w:val="00EE1585"/>
    <w:rsid w:val="00EE4067"/>
    <w:rsid w:val="00F52A28"/>
    <w:rsid w:val="00F60F51"/>
    <w:rsid w:val="00F83F96"/>
    <w:rsid w:val="00FA64AE"/>
    <w:rsid w:val="00FD1A1C"/>
    <w:rsid w:val="00FF0DC8"/>
    <w:rsid w:val="2998140F"/>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2226622"/>
  <w15:docId w15:val="{618EA6EB-EB9A-4600-8BB2-A772B8A4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lang w:eastAsia="en-US"/>
    </w:rPr>
  </w:style>
  <w:style w:type="paragraph" w:styleId="Heading1">
    <w:name w:val="heading 1"/>
    <w:basedOn w:val="Normal"/>
    <w:next w:val="Normal"/>
    <w:link w:val="Heading1Char"/>
    <w:uiPriority w:val="9"/>
    <w:qFormat/>
    <w:pPr>
      <w:ind w:left="484" w:hanging="365"/>
      <w:outlineLvl w:val="0"/>
    </w:pPr>
    <w:rPr>
      <w:rFonts w:ascii="Times New Roman" w:eastAsia="Times New Roman" w:hAnsi="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rPr>
  </w:style>
  <w:style w:type="paragraph" w:styleId="BodyText">
    <w:name w:val="Body Text"/>
    <w:basedOn w:val="Normal"/>
    <w:uiPriority w:val="1"/>
    <w:qFormat/>
    <w:pPr>
      <w:ind w:left="119"/>
    </w:pPr>
    <w:rPr>
      <w:rFonts w:ascii="Times New Roman" w:eastAsia="Times New Roman" w:hAnsi="Times New Roman"/>
      <w:sz w:val="24"/>
      <w:szCs w:val="24"/>
    </w:rPr>
  </w:style>
  <w:style w:type="paragraph" w:styleId="Caption">
    <w:name w:val="caption"/>
    <w:basedOn w:val="Normal"/>
    <w:next w:val="Normal"/>
    <w:uiPriority w:val="35"/>
    <w:unhideWhenUsed/>
    <w:qFormat/>
    <w:rPr>
      <w:rFonts w:asciiTheme="majorHAnsi" w:eastAsia="SimHei" w:hAnsiTheme="majorHAnsi" w:cstheme="majorBidi"/>
      <w:sz w:val="20"/>
      <w:szCs w:val="20"/>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pPr>
      <w:jc w:val="both"/>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CommentTextChar">
    <w:name w:val="Comment Text Char"/>
    <w:basedOn w:val="DefaultParagraphFont"/>
    <w:link w:val="CommentText"/>
    <w:uiPriority w:val="99"/>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ReferenceHead">
    <w:name w:val="ReferenceHead"/>
    <w:qFormat/>
    <w:pPr>
      <w:spacing w:before="200" w:after="200"/>
      <w:ind w:left="142"/>
    </w:pPr>
    <w:rPr>
      <w:rFonts w:ascii="Times New Roman" w:hAnsi="Times New Roman" w:cs="Times New Roman"/>
      <w:b/>
      <w:sz w:val="24"/>
      <w:szCs w:val="22"/>
      <w:lang w:eastAsia="en-US"/>
      <w14:ligatures w14:val="standard"/>
    </w:rPr>
  </w:style>
  <w:style w:type="character" w:customStyle="1" w:styleId="Heading1Char">
    <w:name w:val="Heading 1 Char"/>
    <w:basedOn w:val="DefaultParagraphFont"/>
    <w:link w:val="Heading1"/>
    <w:uiPriority w:val="9"/>
    <w:rPr>
      <w:rFonts w:ascii="Times New Roman" w:eastAsia="Times New Roman" w:hAnsi="Times New Roman"/>
      <w:b/>
      <w:bCs/>
      <w:sz w:val="24"/>
      <w:szCs w:val="24"/>
    </w:rPr>
  </w:style>
  <w:style w:type="paragraph" w:customStyle="1" w:styleId="Bibliography1">
    <w:name w:val="Bibliography1"/>
    <w:basedOn w:val="Normal"/>
    <w:next w:val="Normal"/>
    <w:uiPriority w:val="37"/>
    <w:unhideWhenUsed/>
  </w:style>
  <w:style w:type="paragraph" w:styleId="Bibliography">
    <w:name w:val="Bibliography"/>
    <w:basedOn w:val="Normal"/>
    <w:next w:val="Normal"/>
    <w:uiPriority w:val="37"/>
    <w:unhideWhenUsed/>
    <w:rsid w:val="00A95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tanahair.indonesia.go.id/portal-web"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www.openstreetmap.id" TargetMode="Externa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10" Type="http://schemas.openxmlformats.org/officeDocument/2006/relationships/hyperlink" Target="http://www.tanahair.indonesia.go.id/portal-web" TargetMode="External"/><Relationship Id="rId19" Type="http://schemas.openxmlformats.org/officeDocument/2006/relationships/hyperlink" Target="http://www.openstreetmap.i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ESSICA\Desktop\Research%20Track\QGIS\public%20facility_distinct%20and%20participation%20inde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a:defRPr lang="en-US"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Number of Public Facilities That Interact with                                      Public Transport Facilities</a:t>
            </a:r>
          </a:p>
        </c:rich>
      </c:tx>
      <c:layout>
        <c:manualLayout>
          <c:xMode val="edge"/>
          <c:yMode val="edge"/>
          <c:x val="0.135644329792111"/>
          <c:y val="4.2657041889920501E-4"/>
        </c:manualLayout>
      </c:layout>
      <c:overlay val="0"/>
    </c:title>
    <c:autoTitleDeleted val="0"/>
    <c:plotArea>
      <c:layout/>
      <c:barChart>
        <c:barDir val="col"/>
        <c:grouping val="clustered"/>
        <c:varyColors val="0"/>
        <c:ser>
          <c:idx val="0"/>
          <c:order val="0"/>
          <c:tx>
            <c:strRef>
              <c:f>"Parks and Green Area"</c:f>
              <c:strCache>
                <c:ptCount val="1"/>
                <c:pt idx="0">
                  <c:v>Parks and Green Area</c:v>
                </c:pt>
              </c:strCache>
            </c:strRef>
          </c:tx>
          <c:spPr>
            <a:solidFill>
              <a:srgbClr val="C00000"/>
            </a:solidFill>
          </c:spPr>
          <c:invertIfNegative val="0"/>
          <c:cat>
            <c:numRef>
              <c:f>'[public facility_distinct and participation index.xlsx]Sheet1'!$C$12:$C$21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'[public facility_distinct and participation index.xlsx]Sheet1'!$G$12:$G$21</c:f>
              <c:numCache>
                <c:formatCode>_ * #,##0_ ;_ * \-#,##0_ ;_ * "-"??_ ;_ @_ </c:formatCode>
                <c:ptCount val="10"/>
                <c:pt idx="0">
                  <c:v>157</c:v>
                </c:pt>
                <c:pt idx="1">
                  <c:v>641</c:v>
                </c:pt>
                <c:pt idx="2">
                  <c:v>1314</c:v>
                </c:pt>
                <c:pt idx="3">
                  <c:v>2076</c:v>
                </c:pt>
                <c:pt idx="4">
                  <c:v>3070</c:v>
                </c:pt>
                <c:pt idx="5">
                  <c:v>4359</c:v>
                </c:pt>
                <c:pt idx="6">
                  <c:v>6041</c:v>
                </c:pt>
                <c:pt idx="7">
                  <c:v>7725</c:v>
                </c:pt>
                <c:pt idx="8">
                  <c:v>9767</c:v>
                </c:pt>
                <c:pt idx="9">
                  <c:v>12093</c:v>
                </c:pt>
              </c:numCache>
            </c:numRef>
          </c:val>
          <c:extLst>
            <c:ext xmlns:c16="http://schemas.microsoft.com/office/drawing/2014/chart" uri="{C3380CC4-5D6E-409C-BE32-E72D297353CC}">
              <c16:uniqueId val="{00000000-4C70-4909-ABC2-9E02A1E6895C}"/>
            </c:ext>
          </c:extLst>
        </c:ser>
        <c:ser>
          <c:idx val="1"/>
          <c:order val="1"/>
          <c:tx>
            <c:strRef>
              <c:f>"Residential Area"</c:f>
              <c:strCache>
                <c:ptCount val="1"/>
                <c:pt idx="0">
                  <c:v>Residential Area</c:v>
                </c:pt>
              </c:strCache>
            </c:strRef>
          </c:tx>
          <c:spPr>
            <a:solidFill>
              <a:schemeClr val="accent6">
                <a:lumMod val="75000"/>
              </a:schemeClr>
            </a:solidFill>
          </c:spPr>
          <c:invertIfNegative val="0"/>
          <c:cat>
            <c:numRef>
              <c:f>'[public facility_distinct and participation index.xlsx]Sheet1'!$C$12:$C$21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'[public facility_distinct and participation index.xlsx]Sheet1'!$G$22:$G$31</c:f>
              <c:numCache>
                <c:formatCode>_ * #,##0_ ;_ * \-#,##0_ ;_ * "-"??_ ;_ @_ </c:formatCode>
                <c:ptCount val="10"/>
                <c:pt idx="0">
                  <c:v>7806</c:v>
                </c:pt>
                <c:pt idx="1">
                  <c:v>27490</c:v>
                </c:pt>
                <c:pt idx="2">
                  <c:v>55420</c:v>
                </c:pt>
                <c:pt idx="3">
                  <c:v>86976</c:v>
                </c:pt>
                <c:pt idx="4">
                  <c:v>120406</c:v>
                </c:pt>
                <c:pt idx="5">
                  <c:v>152539</c:v>
                </c:pt>
                <c:pt idx="6">
                  <c:v>180960</c:v>
                </c:pt>
                <c:pt idx="7">
                  <c:v>207568</c:v>
                </c:pt>
                <c:pt idx="8">
                  <c:v>232063</c:v>
                </c:pt>
                <c:pt idx="9">
                  <c:v>253488</c:v>
                </c:pt>
              </c:numCache>
            </c:numRef>
          </c:val>
          <c:extLst>
            <c:ext xmlns:c16="http://schemas.microsoft.com/office/drawing/2014/chart" uri="{C3380CC4-5D6E-409C-BE32-E72D297353CC}">
              <c16:uniqueId val="{00000001-4C70-4909-ABC2-9E02A1E6895C}"/>
            </c:ext>
          </c:extLst>
        </c:ser>
        <c:ser>
          <c:idx val="2"/>
          <c:order val="2"/>
          <c:tx>
            <c:strRef>
              <c:f>'[public facility_distinct and participation index.xlsx]Sheet1'!$A$32</c:f>
              <c:strCache>
                <c:ptCount val="1"/>
                <c:pt idx="0">
                  <c:v>educational facility</c:v>
                </c:pt>
              </c:strCache>
            </c:strRef>
          </c:tx>
          <c:invertIfNegative val="0"/>
          <c:cat>
            <c:numRef>
              <c:f>'[public facility_distinct and participation index.xlsx]Sheet1'!$C$12:$C$21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'[public facility_distinct and participation index.xlsx]Sheet1'!$G$32:$G$41</c:f>
              <c:numCache>
                <c:formatCode>_ * #,##0_ ;_ * \-#,##0_ ;_ * "-"??_ ;_ @_ </c:formatCode>
                <c:ptCount val="10"/>
                <c:pt idx="0">
                  <c:v>3243</c:v>
                </c:pt>
                <c:pt idx="1">
                  <c:v>11225</c:v>
                </c:pt>
                <c:pt idx="2">
                  <c:v>22513</c:v>
                </c:pt>
                <c:pt idx="3">
                  <c:v>35412</c:v>
                </c:pt>
                <c:pt idx="4">
                  <c:v>48637</c:v>
                </c:pt>
                <c:pt idx="5">
                  <c:v>62607</c:v>
                </c:pt>
                <c:pt idx="6">
                  <c:v>76635</c:v>
                </c:pt>
                <c:pt idx="7">
                  <c:v>91522</c:v>
                </c:pt>
                <c:pt idx="8">
                  <c:v>106533</c:v>
                </c:pt>
                <c:pt idx="9">
                  <c:v>122215</c:v>
                </c:pt>
              </c:numCache>
            </c:numRef>
          </c:val>
          <c:extLst>
            <c:ext xmlns:c16="http://schemas.microsoft.com/office/drawing/2014/chart" uri="{C3380CC4-5D6E-409C-BE32-E72D297353CC}">
              <c16:uniqueId val="{00000002-4C70-4909-ABC2-9E02A1E6895C}"/>
            </c:ext>
          </c:extLst>
        </c:ser>
        <c:ser>
          <c:idx val="3"/>
          <c:order val="3"/>
          <c:tx>
            <c:strRef>
              <c:f>'[public facility_distinct and participation index.xlsx]Sheet1'!$A$42</c:f>
              <c:strCache>
                <c:ptCount val="1"/>
                <c:pt idx="0">
                  <c:v>commercial and office area</c:v>
                </c:pt>
              </c:strCache>
            </c:strRef>
          </c:tx>
          <c:spPr>
            <a:solidFill>
              <a:schemeClr val="tx2">
                <a:lumMod val="60000"/>
                <a:lumOff val="40000"/>
              </a:schemeClr>
            </a:solidFill>
          </c:spPr>
          <c:invertIfNegative val="0"/>
          <c:cat>
            <c:numRef>
              <c:f>'[public facility_distinct and participation index.xlsx]Sheet1'!$C$12:$C$21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'[public facility_distinct and participation index.xlsx]Sheet1'!$G$42:$G$51</c:f>
              <c:numCache>
                <c:formatCode>_ * #,##0_ ;_ * \-#,##0_ ;_ * "-"??_ ;_ @_ </c:formatCode>
                <c:ptCount val="10"/>
                <c:pt idx="0">
                  <c:v>42008</c:v>
                </c:pt>
                <c:pt idx="1">
                  <c:v>146487</c:v>
                </c:pt>
                <c:pt idx="2">
                  <c:v>306604</c:v>
                </c:pt>
                <c:pt idx="3">
                  <c:v>509422</c:v>
                </c:pt>
                <c:pt idx="4">
                  <c:v>736748</c:v>
                </c:pt>
                <c:pt idx="5">
                  <c:v>981430</c:v>
                </c:pt>
                <c:pt idx="6">
                  <c:v>1231426</c:v>
                </c:pt>
                <c:pt idx="7">
                  <c:v>1489787</c:v>
                </c:pt>
                <c:pt idx="8">
                  <c:v>1748720</c:v>
                </c:pt>
                <c:pt idx="9">
                  <c:v>2004432</c:v>
                </c:pt>
              </c:numCache>
            </c:numRef>
          </c:val>
          <c:extLst>
            <c:ext xmlns:c16="http://schemas.microsoft.com/office/drawing/2014/chart" uri="{C3380CC4-5D6E-409C-BE32-E72D297353CC}">
              <c16:uniqueId val="{00000003-4C70-4909-ABC2-9E02A1E6895C}"/>
            </c:ext>
          </c:extLst>
        </c:ser>
        <c:ser>
          <c:idx val="4"/>
          <c:order val="4"/>
          <c:tx>
            <c:strRef>
              <c:f>'[public facility_distinct and participation index.xlsx]Sheet1'!$A$52</c:f>
              <c:strCache>
                <c:ptCount val="1"/>
                <c:pt idx="0">
                  <c:v>hospital</c:v>
                </c:pt>
              </c:strCache>
            </c:strRef>
          </c:tx>
          <c:spPr>
            <a:solidFill>
              <a:srgbClr val="7030A0"/>
            </a:solidFill>
          </c:spPr>
          <c:invertIfNegative val="0"/>
          <c:cat>
            <c:numRef>
              <c:f>'[public facility_distinct and participation index.xlsx]Sheet1'!$C$12:$C$21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'[public facility_distinct and participation index.xlsx]Sheet1'!$G$52:$G$61</c:f>
              <c:numCache>
                <c:formatCode>_ * #,##0_ ;_ * \-#,##0_ ;_ * "-"??_ ;_ @_ </c:formatCode>
                <c:ptCount val="10"/>
                <c:pt idx="0">
                  <c:v>345</c:v>
                </c:pt>
                <c:pt idx="1">
                  <c:v>1150</c:v>
                </c:pt>
                <c:pt idx="2">
                  <c:v>2269</c:v>
                </c:pt>
                <c:pt idx="3">
                  <c:v>3773</c:v>
                </c:pt>
                <c:pt idx="4">
                  <c:v>5484</c:v>
                </c:pt>
                <c:pt idx="5">
                  <c:v>7132</c:v>
                </c:pt>
                <c:pt idx="6">
                  <c:v>8725</c:v>
                </c:pt>
                <c:pt idx="7">
                  <c:v>10331</c:v>
                </c:pt>
                <c:pt idx="8">
                  <c:v>12079</c:v>
                </c:pt>
                <c:pt idx="9">
                  <c:v>13800</c:v>
                </c:pt>
              </c:numCache>
            </c:numRef>
          </c:val>
          <c:extLst>
            <c:ext xmlns:c16="http://schemas.microsoft.com/office/drawing/2014/chart" uri="{C3380CC4-5D6E-409C-BE32-E72D297353CC}">
              <c16:uniqueId val="{00000004-4C70-4909-ABC2-9E02A1E6895C}"/>
            </c:ext>
          </c:extLst>
        </c:ser>
        <c:dLbls>
          <c:showLegendKey val="0"/>
          <c:showVal val="0"/>
          <c:showCatName val="0"/>
          <c:showSerName val="0"/>
          <c:showPercent val="0"/>
          <c:showBubbleSize val="0"/>
        </c:dLbls>
        <c:gapWidth val="75"/>
        <c:axId val="253917440"/>
        <c:axId val="253927808"/>
      </c:barChart>
      <c:catAx>
        <c:axId val="253917440"/>
        <c:scaling>
          <c:orientation val="minMax"/>
        </c:scaling>
        <c:delete val="0"/>
        <c:axPos val="b"/>
        <c:title>
          <c:tx>
            <c:rich>
              <a:bodyPr rot="0" spcFirstLastPara="0"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ltLang="en-US" sz="900" b="0">
                    <a:latin typeface="Times New Roman" panose="02020603050405020304" pitchFamily="18" charset="0"/>
                    <a:cs typeface="Times New Roman" panose="02020603050405020304" pitchFamily="18" charset="0"/>
                  </a:rPr>
                  <a:t>Distance</a:t>
                </a:r>
                <a:r>
                  <a:rPr lang="en-US" altLang="en-US" sz="900" b="0" baseline="0">
                    <a:latin typeface="Times New Roman" panose="02020603050405020304" pitchFamily="18" charset="0"/>
                    <a:cs typeface="Times New Roman" panose="02020603050405020304" pitchFamily="18" charset="0"/>
                  </a:rPr>
                  <a:t> (</a:t>
                </a:r>
                <a:r>
                  <a:rPr lang="en-US" alt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km</a:t>
                </a:r>
                <a:r>
                  <a:rPr lang="en-US" altLang="en-US" sz="900" b="0" baseline="0">
                    <a:latin typeface="Times New Roman" panose="02020603050405020304" pitchFamily="18" charset="0"/>
                    <a:cs typeface="Times New Roman" panose="02020603050405020304" pitchFamily="18" charset="0"/>
                  </a:rPr>
                  <a:t>)</a:t>
                </a:r>
                <a:endParaRPr lang="en-US" altLang="en-US" sz="900" b="0">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txPr>
          <a:bodyPr rot="-60000000" spcFirstLastPara="0"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3927808"/>
        <c:crosses val="autoZero"/>
        <c:auto val="1"/>
        <c:lblAlgn val="ctr"/>
        <c:lblOffset val="100"/>
        <c:noMultiLvlLbl val="0"/>
      </c:catAx>
      <c:valAx>
        <c:axId val="253927808"/>
        <c:scaling>
          <c:orientation val="minMax"/>
          <c:max val="2000000"/>
          <c:min val="0"/>
        </c:scaling>
        <c:delete val="0"/>
        <c:axPos val="l"/>
        <c:majorGridlines/>
        <c:title>
          <c:tx>
            <c:rich>
              <a:bodyPr rot="-5400000" spcFirstLastPara="0"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ltLang="en-US" sz="900" b="0">
                    <a:latin typeface="Times New Roman" panose="02020603050405020304" pitchFamily="18" charset="0"/>
                    <a:cs typeface="Times New Roman" panose="02020603050405020304" pitchFamily="18" charset="0"/>
                  </a:rPr>
                  <a:t>Numbe of Facilities</a:t>
                </a:r>
              </a:p>
            </c:rich>
          </c:tx>
          <c:overlay val="0"/>
        </c:title>
        <c:numFmt formatCode="_ * #,##0_ ;_ * \-#,##0_ ;_ * &quot;-&quot;??_ ;_ @_ " sourceLinked="1"/>
        <c:majorTickMark val="none"/>
        <c:minorTickMark val="none"/>
        <c:tickLblPos val="nextTo"/>
        <c:txPr>
          <a:bodyPr rot="-60000000" spcFirstLastPara="0"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53917440"/>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Uni18</b:Tag>
    <b:SourceType>Report</b:SourceType>
    <b:Guid>{A27F19EC-E030-4BFB-B9CB-3DC7194D05E0}</b:Guid>
    <b:Title>68% of the world population projected to live in urban areas by 2050, says UN</b:Title>
    <b:Year>2018</b:Year>
    <b:Publisher>Population Division of the United Nations Department of Economic and Social Affairs</b:Publisher>
    <b:City>New York</b:City>
    <b:Author>
      <b:Author>
        <b:NameList>
          <b:Person>
            <b:Last>United Nation</b:Last>
          </b:Person>
        </b:NameList>
      </b:Author>
    </b:Author>
    <b:Department>Department of Economic and Social Affairs</b:Department>
    <b:Institution>United Nations</b:Institution>
    <b:URL>https://www.un.org/development/desa/en/news/population/2018-revision-of-world-urbanization-prospects.html#:~:text=Today%2C%2055%25%20of%20the%20world's,increase%20to%2068%25%20by%202050.</b:URL>
    <b:RefOrder>1</b:RefOrder>
  </b:Source>
  <b:Source>
    <b:Tag>Jay19</b:Tag>
    <b:SourceType>Report</b:SourceType>
    <b:Guid>{B4CC04D4-3710-4925-A084-FE956EE561A1}</b:Guid>
    <b:Title>Berapa Jumlah Penduduk Perkotaan di Indonesia?</b:Title>
    <b:Year>2019</b:Year>
    <b:Publisher>Katadata.co.id</b:Publisher>
    <b:City>Jakarta</b:City>
    <b:Author>
      <b:Author>
        <b:NameList>
          <b:Person>
            <b:Last>Jayani</b:Last>
            <b:Middle>Hadya</b:Middle>
            <b:First>Dwi</b:First>
          </b:Person>
        </b:NameList>
      </b:Author>
    </b:Author>
    <b:YearAccessed>2020</b:YearAccessed>
    <b:MonthAccessed>September</b:MonthAccessed>
    <b:DayAccessed>21</b:DayAccessed>
    <b:URL>https://databoks.katadata.co.id/datapublish/2019/09/11/berapa-jumlah-penduduk-perkotaan-di-indonesia</b:URL>
    <b:RefOrder>6</b:RefOrder>
  </b:Source>
  <b:Source>
    <b:Tag>Rah17</b:Tag>
    <b:SourceType>JournalArticle</b:SourceType>
    <b:Guid>{4021F5F4-EC2C-4AC8-83BB-AF70D9C7760F}</b:Guid>
    <b:Title>Dinamika Kependudukan Di Ibukota Jakarta (Deskripsi Perkembangan Kuantitas, Kualitas dan Kesejahteraan Penduduk</b:Title>
    <b:JournalName>Genta Mulia</b:JournalName>
    <b:Year>2017</b:Year>
    <b:Pages>54-67</b:Pages>
    <b:Author>
      <b:Author>
        <b:NameList>
          <b:Person>
            <b:Last>Rahmatulloh</b:Last>
          </b:Person>
        </b:NameList>
      </b:Author>
    </b:Author>
    <b:RefOrder>3</b:RefOrder>
  </b:Source>
  <b:Source>
    <b:Tag>BPS18</b:Tag>
    <b:SourceType>Book</b:SourceType>
    <b:Guid>{D93F3170-C661-416C-9537-1F92125FB273}</b:Guid>
    <b:Title>Statistik Transportasi DKI Jakarta 2018</b:Title>
    <b:Year>2018</b:Year>
    <b:Publisher>Badan Pusat Statistik Provinsi DKI Jakarta </b:Publisher>
    <b:City>DKI Jakarta</b:City>
    <b:Author>
      <b:Author>
        <b:NameList>
          <b:Person>
            <b:Last>BPS Provinsi DKI Jakarta</b:Last>
          </b:Person>
        </b:NameList>
      </b:Author>
    </b:Author>
    <b:RefOrder>4</b:RefOrder>
  </b:Source>
  <b:Source>
    <b:Tag>Nis19</b:Tag>
    <b:SourceType>Report</b:SourceType>
    <b:Guid>{4F3CDF5B-5F11-4A58-8627-EEC4423C9A97}</b:Guid>
    <b:Title>KUALITAS UDARA DI PROVINSI DKI JAKARTA</b:Title>
    <b:Year>2019</b:Year>
    <b:Publisher>Portal Statistik Sektoral Provinsi DKI Jakarta</b:Publisher>
    <b:City>Jakarta</b:City>
    <b:Author>
      <b:Author>
        <b:NameList>
          <b:Person>
            <b:Last>Nisa</b:Last>
            <b:First>Khoirun</b:First>
          </b:Person>
        </b:NameList>
      </b:Author>
    </b:Author>
    <b:URL>http://statistik.jakarta.go.id/kualitas-udara-di-provinsi-dki-jakarta/</b:URL>
    <b:RefOrder>5</b:RefOrder>
  </b:Source>
  <b:Source>
    <b:Tag>BPS191</b:Tag>
    <b:SourceType>Book</b:SourceType>
    <b:Guid>{1C178C3C-EAC0-4FC3-9F16-EDD4B1449B0E}</b:Guid>
    <b:Title>Statistik Indonesia</b:Title>
    <b:Year>2019</b:Year>
    <b:City>Jakarta</b:City>
    <b:Publisher>Badan Pusat Statistik Indonesia</b:Publisher>
    <b:Author>
      <b:Author>
        <b:NameList>
          <b:Person>
            <b:Last>BPS</b:Last>
          </b:Person>
        </b:NameList>
      </b:Author>
    </b:Author>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40D2132207B1C745836CA05139DDD2B5" ma:contentTypeVersion="4" ma:contentTypeDescription="Create a new document." ma:contentTypeScope="" ma:versionID="8aa6e629085fbd6dbfbe0cd5acb2bb42">
  <xsd:schema xmlns:xsd="http://www.w3.org/2001/XMLSchema" xmlns:xs="http://www.w3.org/2001/XMLSchema" xmlns:p="http://schemas.microsoft.com/office/2006/metadata/properties" xmlns:ns2="75923ef6-5c80-4673-894a-d6e1b5b426a1" targetNamespace="http://schemas.microsoft.com/office/2006/metadata/properties" ma:root="true" ma:fieldsID="212570d8cc729df94853c06981c7e084" ns2:_="">
    <xsd:import namespace="75923ef6-5c80-4673-894a-d6e1b5b426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23ef6-5c80-4673-894a-d6e1b5b42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AB3A11-07BB-4592-8810-51DD1CD29042}">
  <ds:schemaRefs>
    <ds:schemaRef ds:uri="http://schemas.microsoft.com/sharepoint/v3/contenttype/forms"/>
  </ds:schemaRefs>
</ds:datastoreItem>
</file>

<file path=customXml/itemProps2.xml><?xml version="1.0" encoding="utf-8"?>
<ds:datastoreItem xmlns:ds="http://schemas.openxmlformats.org/officeDocument/2006/customXml" ds:itemID="{6DD4E5EE-DB37-44AF-97A9-185E32CD8CEF}">
  <ds:schemaRefs>
    <ds:schemaRef ds:uri="http://schemas.openxmlformats.org/officeDocument/2006/bibliography"/>
  </ds:schemaRefs>
</ds:datastoreItem>
</file>

<file path=customXml/itemProps3.xml><?xml version="1.0" encoding="utf-8"?>
<ds:datastoreItem xmlns:ds="http://schemas.openxmlformats.org/officeDocument/2006/customXml" ds:itemID="{4A9EC9E7-0D44-4C34-B6E0-748E558C3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23ef6-5c80-4673-894a-d6e1b5b42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745E4C-6BEF-4996-B2C1-73EA76CD679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13248</Words>
  <Characters>75517</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Online2PDF.com</dc:creator>
  <cp:lastModifiedBy>dyah lestari widaningrum</cp:lastModifiedBy>
  <cp:revision>5</cp:revision>
  <cp:lastPrinted>2020-10-15T02:56:00Z</cp:lastPrinted>
  <dcterms:created xsi:type="dcterms:W3CDTF">2020-10-15T02:55:00Z</dcterms:created>
  <dcterms:modified xsi:type="dcterms:W3CDTF">2020-10-15T02:56:00Z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2018-09-07T00:00:00Z</vt:filetime>
  </property>
  <property fmtid="{D5CDD505-2E9C-101B-9397-08002B2CF9AE}" pid="3" name="LastSaved">
    <vt:filetime>2018-09-07T00:00:00Z</vt:filetime>
  </property>
  <property fmtid="{D5CDD505-2E9C-101B-9397-08002B2CF9AE}" pid="4" name="ContentTypeId">
    <vt:lpwstr>0x01010040D2132207B1C745836CA05139DDD2B5</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Document_1">
    <vt:lpwstr>True</vt:lpwstr>
  </property>
  <property fmtid="{D5CDD505-2E9C-101B-9397-08002B2CF9AE}" pid="26" name="Mendeley Unique User Id_1">
    <vt:lpwstr>96fc5a64-720e-3be2-b698-0fc0eea27b60</vt:lpwstr>
  </property>
  <property fmtid="{D5CDD505-2E9C-101B-9397-08002B2CF9AE}" pid="27" name="Mendeley Citation Style_1">
    <vt:lpwstr>http://www.zotero.org/styles/apa</vt:lpwstr>
  </property>
  <property fmtid="{D5CDD505-2E9C-101B-9397-08002B2CF9AE}" pid="28" name="KSOProductBuildVer">
    <vt:lpwstr>1033-11.2.0.9669</vt:lpwstr>
  </property>
</Properties>
</file>