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12A1F3" w14:textId="4EBCD536" w:rsidR="00AC43AD" w:rsidRPr="00B74B0E" w:rsidRDefault="007C0C08">
      <w:pPr>
        <w:spacing w:before="2"/>
        <w:ind w:left="508" w:right="525"/>
        <w:jc w:val="center"/>
        <w:rPr>
          <w:rFonts w:eastAsia="Times New Roman" w:cs="Times New Roman"/>
          <w:szCs w:val="24"/>
        </w:rPr>
      </w:pPr>
      <w:r w:rsidRPr="00B74B0E">
        <w:rPr>
          <w:rFonts w:cs="Times New Roman"/>
          <w:b/>
          <w:szCs w:val="24"/>
        </w:rPr>
        <w:t>FLUS MODEL APPLICATION FOR LAND-USE SIMULATION OF INDONESIA'S MEGACITY REGION</w:t>
      </w:r>
    </w:p>
    <w:p w14:paraId="51DBE0BC" w14:textId="77777777" w:rsidR="00AC43AD" w:rsidRPr="00B74B0E" w:rsidRDefault="00AC43AD">
      <w:pPr>
        <w:spacing w:before="6"/>
        <w:rPr>
          <w:rFonts w:eastAsia="Times New Roman" w:cs="Times New Roman"/>
          <w:b/>
          <w:bCs/>
          <w:szCs w:val="24"/>
        </w:rPr>
      </w:pPr>
    </w:p>
    <w:p w14:paraId="7B4976FE" w14:textId="158C27E2" w:rsidR="00AC43AD" w:rsidRPr="00B74B0E" w:rsidRDefault="007C0C08">
      <w:pPr>
        <w:ind w:left="498" w:right="525"/>
        <w:jc w:val="center"/>
        <w:rPr>
          <w:rFonts w:eastAsia="Times New Roman" w:cs="Times New Roman"/>
          <w:szCs w:val="24"/>
        </w:rPr>
      </w:pPr>
      <w:r w:rsidRPr="00B74B0E">
        <w:rPr>
          <w:rFonts w:cs="Times New Roman"/>
          <w:spacing w:val="-1"/>
          <w:szCs w:val="24"/>
        </w:rPr>
        <w:t>Nico, Dyah Lestari Widaningrum</w:t>
      </w:r>
    </w:p>
    <w:p w14:paraId="4C66E14A" w14:textId="77777777" w:rsidR="00AC43AD" w:rsidRPr="00B74B0E" w:rsidRDefault="00AC43AD">
      <w:pPr>
        <w:spacing w:before="4"/>
        <w:rPr>
          <w:rFonts w:eastAsia="Times New Roman" w:cs="Times New Roman"/>
          <w:szCs w:val="24"/>
        </w:rPr>
      </w:pPr>
    </w:p>
    <w:p w14:paraId="21DDA6D5" w14:textId="093A8F88" w:rsidR="00AC43AD" w:rsidRPr="00B74B0E" w:rsidRDefault="007C0C08">
      <w:pPr>
        <w:spacing w:before="82"/>
        <w:ind w:left="1453" w:right="525"/>
        <w:jc w:val="center"/>
        <w:rPr>
          <w:rFonts w:eastAsia="Times New Roman" w:cs="Times New Roman"/>
          <w:szCs w:val="24"/>
        </w:rPr>
      </w:pPr>
      <w:r w:rsidRPr="00B74B0E">
        <w:rPr>
          <w:rFonts w:cs="Times New Roman"/>
          <w:spacing w:val="-1"/>
          <w:szCs w:val="24"/>
        </w:rPr>
        <w:t>Industrial Engineering Department, Faculty of Engineering, Bina Nusantara University, Jakarta, Indonesia, 11480</w:t>
      </w:r>
    </w:p>
    <w:p w14:paraId="5B48558F" w14:textId="74DB3CE0" w:rsidR="00AC43AD" w:rsidRPr="00B74B0E" w:rsidRDefault="00181813">
      <w:pPr>
        <w:spacing w:before="7" w:line="250" w:lineRule="exact"/>
        <w:ind w:left="1453" w:right="515"/>
        <w:jc w:val="center"/>
        <w:rPr>
          <w:rFonts w:eastAsia="Times New Roman" w:cs="Times New Roman"/>
          <w:szCs w:val="24"/>
        </w:rPr>
      </w:pPr>
      <w:r w:rsidRPr="00B74B0E">
        <w:rPr>
          <w:rFonts w:cs="Times New Roman"/>
          <w:spacing w:val="-2"/>
          <w:szCs w:val="24"/>
        </w:rPr>
        <w:t>Email:</w:t>
      </w:r>
      <w:r w:rsidRPr="00B74B0E">
        <w:rPr>
          <w:rFonts w:cs="Times New Roman"/>
          <w:spacing w:val="-1"/>
          <w:szCs w:val="24"/>
        </w:rPr>
        <w:t xml:space="preserve"> </w:t>
      </w:r>
      <w:r w:rsidR="007C0C08" w:rsidRPr="00B74B0E">
        <w:rPr>
          <w:rFonts w:cs="Times New Roman"/>
          <w:spacing w:val="-3"/>
          <w:szCs w:val="24"/>
          <w:u w:val="single" w:color="000000"/>
        </w:rPr>
        <w:t>nico005@binus.ac.id; dwidaningrum@binus.edu</w:t>
      </w:r>
    </w:p>
    <w:p w14:paraId="01072BCA" w14:textId="77777777" w:rsidR="00AC43AD" w:rsidRPr="00B74B0E" w:rsidRDefault="00AC43AD">
      <w:pPr>
        <w:spacing w:before="10"/>
        <w:rPr>
          <w:rFonts w:eastAsia="Times New Roman" w:cs="Times New Roman"/>
          <w:szCs w:val="24"/>
        </w:rPr>
      </w:pPr>
    </w:p>
    <w:p w14:paraId="0B2799E3" w14:textId="0A0799AD" w:rsidR="00AC43AD" w:rsidRPr="00B74B0E" w:rsidRDefault="00181813">
      <w:pPr>
        <w:spacing w:before="61"/>
        <w:ind w:left="114"/>
        <w:rPr>
          <w:rFonts w:eastAsia="Times New Roman" w:cs="Times New Roman"/>
          <w:szCs w:val="24"/>
        </w:rPr>
      </w:pPr>
      <w:r w:rsidRPr="00B74B0E">
        <w:rPr>
          <w:rFonts w:cs="Times New Roman"/>
          <w:b/>
          <w:spacing w:val="1"/>
          <w:szCs w:val="24"/>
        </w:rPr>
        <w:t>KEY</w:t>
      </w:r>
      <w:r w:rsidRPr="00B74B0E">
        <w:rPr>
          <w:rFonts w:cs="Times New Roman"/>
          <w:b/>
          <w:spacing w:val="-1"/>
          <w:szCs w:val="24"/>
        </w:rPr>
        <w:t>WORDS:</w:t>
      </w:r>
      <w:r w:rsidRPr="00B74B0E">
        <w:rPr>
          <w:rFonts w:cs="Times New Roman"/>
          <w:b/>
          <w:spacing w:val="5"/>
          <w:szCs w:val="24"/>
        </w:rPr>
        <w:t xml:space="preserve"> </w:t>
      </w:r>
      <w:r w:rsidR="007C0C08" w:rsidRPr="00B74B0E">
        <w:rPr>
          <w:rFonts w:cs="Times New Roman"/>
          <w:spacing w:val="-1"/>
          <w:szCs w:val="24"/>
        </w:rPr>
        <w:t>Land-use; Urban Area; Cellular Automata; Spatial Data</w:t>
      </w:r>
    </w:p>
    <w:p w14:paraId="0947411B" w14:textId="77777777" w:rsidR="00AC43AD" w:rsidRPr="00B74B0E" w:rsidRDefault="00AC43AD">
      <w:pPr>
        <w:spacing w:before="6"/>
        <w:rPr>
          <w:rFonts w:eastAsia="Times New Roman" w:cs="Times New Roman"/>
          <w:szCs w:val="24"/>
        </w:rPr>
      </w:pPr>
    </w:p>
    <w:p w14:paraId="0D996B29" w14:textId="793BBA17" w:rsidR="00AC43AD" w:rsidRPr="00B74B0E" w:rsidRDefault="00181813">
      <w:pPr>
        <w:pStyle w:val="BodyText"/>
        <w:spacing w:line="233" w:lineRule="auto"/>
        <w:ind w:left="114" w:right="146"/>
        <w:rPr>
          <w:rFonts w:cs="Times New Roman"/>
        </w:rPr>
      </w:pPr>
      <w:r w:rsidRPr="23459941">
        <w:rPr>
          <w:rFonts w:cs="Times New Roman"/>
          <w:b/>
          <w:bCs/>
          <w:spacing w:val="-1"/>
        </w:rPr>
        <w:t>ABSTRACT:</w:t>
      </w:r>
      <w:r w:rsidRPr="23459941">
        <w:rPr>
          <w:rFonts w:cs="Times New Roman"/>
          <w:b/>
          <w:bCs/>
          <w:spacing w:val="14"/>
        </w:rPr>
        <w:t xml:space="preserve"> </w:t>
      </w:r>
      <w:r w:rsidR="007C0C08" w:rsidRPr="00B74B0E">
        <w:rPr>
          <w:rFonts w:cs="Times New Roman"/>
          <w:spacing w:val="10"/>
        </w:rPr>
        <w:t xml:space="preserve">The population of Indonesia is unevenly distributed, being concentrated in the urban areas of a few cities, especially in Jakarta. Jakarta became a megacity in 2013 when it accumulated a population of more than 10 million people and became the center of economic activities in an emerging market. Since 1960, Jakarta has always ranked among the top 30 urban agglomerations in the United Nations records. The present study aims to simulate the land-use pattern in a megacity region of Indonesia, namely the Greater Jakarta Area. This study used FLUS Model using the artificial neural network (ANN) to examine the relationship between the driving factors and the land-use changes. </w:t>
      </w:r>
      <w:r w:rsidR="00320390" w:rsidRPr="00B74B0E">
        <w:rPr>
          <w:rFonts w:cs="Times New Roman"/>
          <w:bCs/>
        </w:rPr>
        <w:t xml:space="preserve">The RMSE values indicate that the probability of occurrence map produced </w:t>
      </w:r>
      <w:r w:rsidR="00320390">
        <w:rPr>
          <w:rFonts w:cs="Times New Roman"/>
          <w:bCs/>
        </w:rPr>
        <w:t>is</w:t>
      </w:r>
      <w:r w:rsidR="00320390" w:rsidRPr="00B74B0E">
        <w:rPr>
          <w:rFonts w:cs="Times New Roman"/>
          <w:bCs/>
        </w:rPr>
        <w:t xml:space="preserve"> still within </w:t>
      </w:r>
      <w:r w:rsidR="00320390">
        <w:rPr>
          <w:rFonts w:cs="Times New Roman"/>
          <w:bCs/>
        </w:rPr>
        <w:t xml:space="preserve">an </w:t>
      </w:r>
      <w:r w:rsidR="00320390" w:rsidRPr="00B74B0E">
        <w:rPr>
          <w:rFonts w:cs="Times New Roman"/>
          <w:bCs/>
        </w:rPr>
        <w:t>acceptable range</w:t>
      </w:r>
      <w:r w:rsidR="00320390">
        <w:rPr>
          <w:rFonts w:cs="Times New Roman"/>
          <w:bCs/>
        </w:rPr>
        <w:t>.</w:t>
      </w:r>
      <w:r w:rsidR="00320390" w:rsidRPr="00B74B0E">
        <w:rPr>
          <w:rFonts w:cs="Times New Roman"/>
          <w:spacing w:val="10"/>
        </w:rPr>
        <w:t xml:space="preserve"> </w:t>
      </w:r>
      <w:r w:rsidR="007C0C08" w:rsidRPr="00B74B0E">
        <w:rPr>
          <w:rFonts w:cs="Times New Roman"/>
          <w:spacing w:val="10"/>
        </w:rPr>
        <w:t xml:space="preserve">Land use data for 2009, </w:t>
      </w:r>
      <w:r w:rsidR="00320390">
        <w:rPr>
          <w:rFonts w:cs="Times New Roman"/>
          <w:spacing w:val="10"/>
        </w:rPr>
        <w:t xml:space="preserve">2011, </w:t>
      </w:r>
      <w:r w:rsidR="007C0C08" w:rsidRPr="00B74B0E">
        <w:rPr>
          <w:rFonts w:cs="Times New Roman"/>
          <w:spacing w:val="10"/>
        </w:rPr>
        <w:t xml:space="preserve">2014, </w:t>
      </w:r>
      <w:r w:rsidR="00320390">
        <w:rPr>
          <w:rFonts w:cs="Times New Roman"/>
          <w:spacing w:val="10"/>
        </w:rPr>
        <w:t xml:space="preserve">2015, 2016, 2017, </w:t>
      </w:r>
      <w:r w:rsidR="007C0C08" w:rsidRPr="00B74B0E">
        <w:rPr>
          <w:rFonts w:cs="Times New Roman"/>
          <w:spacing w:val="10"/>
        </w:rPr>
        <w:t xml:space="preserve">and 2018 were used for the validation process based on the best Kappa statistic and </w:t>
      </w:r>
      <w:proofErr w:type="spellStart"/>
      <w:r w:rsidR="007C0C08" w:rsidRPr="00B74B0E">
        <w:rPr>
          <w:rFonts w:cs="Times New Roman"/>
          <w:spacing w:val="10"/>
        </w:rPr>
        <w:t>FoM</w:t>
      </w:r>
      <w:proofErr w:type="spellEnd"/>
      <w:r w:rsidR="007C0C08" w:rsidRPr="00B74B0E">
        <w:rPr>
          <w:rFonts w:cs="Times New Roman"/>
          <w:spacing w:val="10"/>
        </w:rPr>
        <w:t xml:space="preserve"> values. </w:t>
      </w:r>
      <w:r w:rsidR="00320390" w:rsidRPr="00BE3748">
        <w:t xml:space="preserve">The validation results indicate that the FLUS model </w:t>
      </w:r>
      <w:proofErr w:type="gramStart"/>
      <w:r w:rsidR="00320390" w:rsidRPr="00BE3748">
        <w:t>is capable of reproducing</w:t>
      </w:r>
      <w:proofErr w:type="gramEnd"/>
      <w:r w:rsidR="00320390" w:rsidRPr="00BE3748">
        <w:t xml:space="preserve"> </w:t>
      </w:r>
      <w:r w:rsidR="00320390">
        <w:t xml:space="preserve">the </w:t>
      </w:r>
      <w:r w:rsidR="00320390" w:rsidRPr="00BE3748">
        <w:t>spatial dynamics of multiple LUCC with reassuring accuracy</w:t>
      </w:r>
      <w:r w:rsidR="00320390">
        <w:t>.</w:t>
      </w:r>
      <w:r w:rsidR="00320390" w:rsidRPr="00BE3748">
        <w:t xml:space="preserve"> </w:t>
      </w:r>
      <w:r w:rsidR="007C0C08" w:rsidRPr="00B74B0E">
        <w:rPr>
          <w:rFonts w:cs="Times New Roman"/>
          <w:spacing w:val="10"/>
        </w:rPr>
        <w:t xml:space="preserve">The cellular automata approach is conducted for the allocation process for each land use category. This study used ArcGIS® Desktop 10.2 for Windows® for initial data processing, includes the process of setting spatial references in the WGS 84/UTM zone 48S projected coordinates system, process rasterization, and data visualization. FLUS Model simulation is performed using </w:t>
      </w:r>
      <w:proofErr w:type="spellStart"/>
      <w:r w:rsidR="007C0C08" w:rsidRPr="00B74B0E">
        <w:rPr>
          <w:rFonts w:cs="Times New Roman"/>
          <w:spacing w:val="10"/>
        </w:rPr>
        <w:t>GeoSOS</w:t>
      </w:r>
      <w:proofErr w:type="spellEnd"/>
      <w:r w:rsidR="007C0C08" w:rsidRPr="00B74B0E">
        <w:rPr>
          <w:rFonts w:cs="Times New Roman"/>
          <w:spacing w:val="10"/>
        </w:rPr>
        <w:t xml:space="preserve">-FLUS Version 2.3 software. </w:t>
      </w:r>
    </w:p>
    <w:p w14:paraId="51B0C485" w14:textId="77777777" w:rsidR="00AC43AD" w:rsidRPr="00B74B0E" w:rsidRDefault="00AC43AD">
      <w:pPr>
        <w:spacing w:before="7"/>
        <w:rPr>
          <w:rFonts w:eastAsia="Times New Roman" w:cs="Times New Roman"/>
          <w:szCs w:val="24"/>
        </w:rPr>
      </w:pPr>
    </w:p>
    <w:p w14:paraId="0570027E" w14:textId="30E641C5" w:rsidR="00AC43AD" w:rsidRPr="00B74B0E" w:rsidRDefault="00A93BCC" w:rsidP="00B74B0E">
      <w:pPr>
        <w:pStyle w:val="Heading1"/>
        <w:numPr>
          <w:ilvl w:val="0"/>
          <w:numId w:val="2"/>
        </w:numPr>
        <w:tabs>
          <w:tab w:val="left" w:pos="422"/>
        </w:tabs>
        <w:rPr>
          <w:rFonts w:cs="Times New Roman"/>
          <w:b w:val="0"/>
          <w:bCs w:val="0"/>
        </w:rPr>
      </w:pPr>
      <w:r w:rsidRPr="00B74B0E">
        <w:rPr>
          <w:rFonts w:cs="Times New Roman"/>
          <w:spacing w:val="-1"/>
        </w:rPr>
        <w:t>INTRODUCTION</w:t>
      </w:r>
    </w:p>
    <w:p w14:paraId="234577F2" w14:textId="77777777" w:rsidR="00BE3748" w:rsidRDefault="00BE3748" w:rsidP="0033510B">
      <w:pPr>
        <w:tabs>
          <w:tab w:val="left" w:pos="484"/>
        </w:tabs>
        <w:rPr>
          <w:rFonts w:cs="Times New Roman"/>
          <w:b/>
          <w:spacing w:val="-2"/>
          <w:szCs w:val="24"/>
        </w:rPr>
      </w:pPr>
    </w:p>
    <w:p w14:paraId="58E1CA1F" w14:textId="1CCB45E3" w:rsidR="00B33C15" w:rsidRDefault="00636BE4" w:rsidP="00BE3748">
      <w:pPr>
        <w:ind w:left="142"/>
      </w:pPr>
      <w:r w:rsidRPr="00636BE4">
        <w:t>Urban growth encourages the growth of cities, where people live and carry out various economic and social activities. This has led to changes in land use characteristics from a village or settlement to a town or city</w:t>
      </w:r>
      <w:r w:rsidRPr="00636BE4" w:rsidDel="00636BE4">
        <w:t xml:space="preserve"> </w:t>
      </w:r>
      <w:r w:rsidR="00B33C15" w:rsidRPr="00B74B0E">
        <w:fldChar w:fldCharType="begin" w:fldLock="1"/>
      </w:r>
      <w:r w:rsidR="00B33C15" w:rsidRPr="00B74B0E">
        <w:instrText>ADDIN CSL_CITATION {"citationItems":[{"id":"ITEM-1","itemData":{"DOI":"10.1002/9780470979563","ISBN":"9780470979563","abstract":"Urban Remote Sensing is designed for upper level undergraduates, graduates, researchers and practitioners, and has a clear focus on the development of remote sensing technology for monitoring, synthesis and modeling in the urban environment. It covers four major areas: the use of high-resolution satellite imagery or alternative sources of image date (such as high-resolution SAR and LIDAR) for urban feature extraction; the development of improved image processing algorithms and techniques for deriving accurate and consistent information on urban attributes from remote sensor data; the development of analytical techniques and methods for deriving indicators of socioeconomic and environmental conditions that prevail within urban landscape; and the development of remote sensing and spatial analytical techniques for urban growth simulation and predictive modeling.","author":[{"dropping-particle":"","family":"Yang","given":"Xiaojun","non-dropping-particle":"","parse-names":false,"suffix":""}],"container-title":"Urban Remote Sensing: Monitoring, Synthesis and Modeling in the Urban Environment","id":"ITEM-1","issued":{"date-parts":[["2011"]]},"number-of-pages":"1-388","title":"Urban Remote Sensing: Monitoring, Synthesis and Modeling in the Urban Environment","type":"book"},"uris":["http://www.mendeley.com/documents/?uuid=3a7407ab-2e3b-4a92-81d2-747a82e7c3ed"]}],"mendeley":{"formattedCitation":"(Yang, 2011)","plainTextFormattedCitation":"(Yang, 2011)","previouslyFormattedCitation":"(Yang, 2011)"},"properties":{"noteIndex":0},"schema":"https://github.com/citation-style-language/schema/raw/master/csl-citation.json"}</w:instrText>
      </w:r>
      <w:r w:rsidR="00B33C15" w:rsidRPr="00B74B0E">
        <w:fldChar w:fldCharType="separate"/>
      </w:r>
      <w:r w:rsidR="00B33C15" w:rsidRPr="00B74B0E">
        <w:rPr>
          <w:noProof/>
        </w:rPr>
        <w:t>(Yang, 2011)</w:t>
      </w:r>
      <w:r w:rsidR="00B33C15" w:rsidRPr="00B74B0E">
        <w:fldChar w:fldCharType="end"/>
      </w:r>
      <w:r w:rsidR="00B33C15" w:rsidRPr="00B74B0E">
        <w:t xml:space="preserve">. Jakarta is one of the biggest urban metropolitan communities in Asia. </w:t>
      </w:r>
      <w:r w:rsidRPr="00636BE4">
        <w:t xml:space="preserve">Jakarta attracts people's attention to live and work in Jakarta because of its very high economic activity. Jakarta's population increased by 269 people per day from 2015 to 2017, encouraging land use for residential and commercial areas in the area around Jakarta, including the cities of Bogor, Depok, Tangerang, Bekasi, known as the Jakarta </w:t>
      </w:r>
      <w:r w:rsidR="00844F5F">
        <w:t>Greater</w:t>
      </w:r>
      <w:r w:rsidRPr="00636BE4">
        <w:t xml:space="preserve"> Area </w:t>
      </w:r>
      <w:r w:rsidR="00B33C15" w:rsidRPr="00B74B0E">
        <w:fldChar w:fldCharType="begin" w:fldLock="1"/>
      </w:r>
      <w:r w:rsidR="00B33C15" w:rsidRPr="00B74B0E">
        <w:instrText>ADDIN CSL_CITATION {"citationItems":[{"id":"ITEM-1","itemData":{"DOI":"10.1016/j.rsase.2019.04.002","ISSN":"23529385","abstract":"Jakarta is the economic hub of Indonesia and the primary target for urbanization. This condition encourages urban growth, particularly in the peri-urban regions of Jakarta. Uncontrolled urban growth impacts Jakarta negatively, because of its location downslope of eight watersheds. This study evaluated the spatiotemporal characteristics and types of urban growth in the watersheds that flow into Jakarta Bay using remote sensing data. Spatial rules revealed three urban growth types, including infilling, edge expansion, and outlying, from 2001 to 2017. Spatial metrics provided quantitative data on urban growth characteristics and explained the spatiotemporal dynamics of urban growth. The study area was divided into eight cardinal directions to analyze urban growth trends. From 2001 to 2017, the average annual urban and population growth rates were 3.75% and 3.9%, respectively. The prominent urban growth types, edge expansion and infilling, coalesced urban patches and rendered urban areas more compact. Results indicated that the North-West (NW) region demonstrated the most orderly urban growth, whereas the East region demonstrated the least.","author":[{"dropping-particle":"","family":"Fitriyanto","given":"Bobby Rachmat","non-dropping-particle":"","parse-names":false,"suffix":""},{"dropping-particle":"","family":"Helmi","given":"Muhammad","non-dropping-particle":"","parse-names":false,"suffix":""},{"dropping-particle":"","family":"Hadiyanto","given":"","non-dropping-particle":"","parse-names":false,"suffix":""}],"container-title":"Remote Sensing Applications: Society and Environment","id":"ITEM-1","issue":"February","issued":{"date-parts":[["2019"]]},"page":"170-177","publisher":"Elsevier B.V.","title":"Analyzing spatiotemporal types and patterns of urban growth in watersheds that flow into Jakarta Bay, Indonesia","type":"article-journal","volume":"14"},"uris":["http://www.mendeley.com/documents/?uuid=2739a31f-6165-48c2-87ca-8aa1b06c6e8c"]}],"mendeley":{"formattedCitation":"(Fitriyanto et al., 2019)","plainTextFormattedCitation":"(Fitriyanto et al., 2019)","previouslyFormattedCitation":"(Fitriyanto et al., 2019)"},"properties":{"noteIndex":0},"schema":"https://github.com/citation-style-language/schema/raw/master/csl-citation.json"}</w:instrText>
      </w:r>
      <w:r w:rsidR="00B33C15" w:rsidRPr="00B74B0E">
        <w:fldChar w:fldCharType="separate"/>
      </w:r>
      <w:r w:rsidR="00B33C15" w:rsidRPr="00B74B0E">
        <w:rPr>
          <w:noProof/>
        </w:rPr>
        <w:t>(Fitriyanto et al., 2019)</w:t>
      </w:r>
      <w:r w:rsidR="00B33C15" w:rsidRPr="00B74B0E">
        <w:fldChar w:fldCharType="end"/>
      </w:r>
      <w:r w:rsidR="00B33C15" w:rsidRPr="00B74B0E">
        <w:t>.</w:t>
      </w:r>
    </w:p>
    <w:p w14:paraId="33623599" w14:textId="77777777" w:rsidR="00636BE4" w:rsidRPr="00B74B0E" w:rsidRDefault="00636BE4" w:rsidP="00BE3748">
      <w:pPr>
        <w:ind w:left="142"/>
        <w:rPr>
          <w:rFonts w:eastAsia="Times New Roman"/>
        </w:rPr>
      </w:pPr>
    </w:p>
    <w:p w14:paraId="0B6EBFF7" w14:textId="5AA7E105" w:rsidR="00B33C15" w:rsidRDefault="00C70139" w:rsidP="00BE3748">
      <w:pPr>
        <w:ind w:left="142"/>
      </w:pPr>
      <w:r w:rsidRPr="00B74B0E">
        <w:t xml:space="preserve">Land use and/or land cover changes in urban areas, especially transforming cropland and forest land for urban uses, is one of the most pressing forms of global environmental changes </w:t>
      </w:r>
      <w:r w:rsidRPr="00B74B0E">
        <w:fldChar w:fldCharType="begin" w:fldLock="1"/>
      </w:r>
      <w:r w:rsidRPr="00B74B0E">
        <w:instrText>ADDIN CSL_CITATION {"citationItems":[{"id":"ITEM-1","itemData":{"DOI":"10.1016/j.apgeog.2014.10.002","ISSN":"01436228","abstract":"Monitoring land changes is an important activity in landscape planning and resource management. In this study, we analyze urban land changes in Atlanta metropolitan area through the combined use of satellite imagery, geographic information systems (GIS), and landscape metrics. The study site is a fast-growing large metropolis in the United States, which contains a mosaic of complex landscape types. Our method consisted of two major components: remote sensing-based land classification and GIS-based land change analysis. Specifically, we adopted a stratified image classification strategy combined with a GIS-based spatial reclassification procedure to map land classes from Landsat Thematic Mapper (TM) scenes acquired in two different years. Then, we analyzed the spatial variation and expansion of urban land changes across the entire metropolitan area through post classification change detection and a variety of GIS-based operations. We further examined the size, pattern, and nature of land changes using landscape metrics to examine the size, pattern, and nature of land changes. This study has demonstrated the usefulness of integrating remote sensing with GIS and landscape metrics in land change analysis that allows the characterization of spatial patterns and helps reveal the underlying processes of urban land changes. Our results indicate a transition of urbanization patterns in the study site with a limited outward expansion despite the dominant suburbanization process.","author":[{"dropping-particle":"","family":"Liu","given":"Ting","non-dropping-particle":"","parse-names":false,"suffix":""},{"dropping-particle":"","family":"Yang","given":"Xiaojun","non-dropping-particle":"","parse-names":false,"suffix":""}],"container-title":"Applied Geography","id":"ITEM-1","issued":{"date-parts":[["2015"]]},"page":"42-54","publisher":"Elsevier Ltd","title":"Monitoring land changes in an urban area using satellite imagery, GIS and landscape metrics","type":"article-journal","volume":"56"},"uris":["http://www.mendeley.com/documents/?uuid=07fc0154-cf74-4c84-adb9-817ed3be41b4"]}],"mendeley":{"formattedCitation":"(T. Liu &amp; Yang, 2015)","plainTextFormattedCitation":"(T. Liu &amp; Yang, 2015)","previouslyFormattedCitation":"(T. Liu &amp; Yang, 2015)"},"properties":{"noteIndex":0},"schema":"https://github.com/citation-style-language/schema/raw/master/csl-citation.json"}</w:instrText>
      </w:r>
      <w:r w:rsidRPr="00B74B0E">
        <w:fldChar w:fldCharType="separate"/>
      </w:r>
      <w:r w:rsidR="00E44E35" w:rsidRPr="00B74B0E">
        <w:rPr>
          <w:noProof/>
        </w:rPr>
        <w:t>(T. Liu &amp; Yang, 2015)</w:t>
      </w:r>
      <w:r w:rsidRPr="00B74B0E">
        <w:fldChar w:fldCharType="end"/>
      </w:r>
      <w:r w:rsidRPr="00B74B0E">
        <w:t xml:space="preserve">. </w:t>
      </w:r>
      <w:r w:rsidR="00B33C15" w:rsidRPr="00B74B0E">
        <w:t>As urban growth continues, more land will be allocated for the creation of goods and enterprises, as well as more housing area</w:t>
      </w:r>
      <w:r w:rsidR="00636BE4">
        <w:t>s</w:t>
      </w:r>
      <w:r w:rsidR="00B33C15" w:rsidRPr="00B74B0E">
        <w:t xml:space="preserve"> as it is fundamental for the individuals who wish to move into the city </w:t>
      </w:r>
      <w:r w:rsidRPr="00B74B0E">
        <w:fldChar w:fldCharType="begin" w:fldLock="1"/>
      </w:r>
      <w:r w:rsidRPr="00B74B0E">
        <w:instrText>ADDIN CSL_CITATION {"citationItems":[{"id":"ITEM-1","itemData":{"DOI":"10.1016/j.apgeog.2009.10.002","ISSN":"01436228","abstract":"This article explores the driving factors of urban growth in Kathmandu Valley using analytic hierarchy process. The dynamic pattern of urban growth in the valley has been greatly influenced by seven driving factors: physical conditions, public service accessibility, economic opportunities, land market, population growth, political situation, and plans and policies. These factors have played important yet different roles in the city core, fringe, and rural areas. Among these factors, economic opportunities in the core, population growth in the fringe, and the political situation in the rural areas are identified as the highest impact factors of urban growth. Due to the lesser land availability in the city core, the land market factor had a smaller role in the core compared to the fringe and rural areas. The plans and policies factor is evaluated as minimally effective in all thematic areas. The physical condition factor had a low impact in the city core and fringe areas, but played a larger role than the economic opportunities, public service accessibility, and plans and policies in the rural areas. Due to spatial disparities in the public service establishments in the valley, the public services accessibility factor had a low impact in the rural area. A representative model of driving factors is presented to explain the overall relationship between the factors in the urban growth process of the metropolitan region. © 2009 Elsevier Ltd. All rights reserved.","author":[{"dropping-particle":"","family":"Thapa","given":"Rajesh Bahadur","non-dropping-particle":"","parse-names":false,"suffix":""},{"dropping-particle":"","family":"Murayama","given":"Yuji","non-dropping-particle":"","parse-names":false,"suffix":""}],"container-title":"Applied Geography","id":"ITEM-1","issue":"1","issued":{"date-parts":[["2010"]]},"page":"70-83","publisher":"Elsevier Ltd","title":"Drivers of urban growth in the Kathmandu valley, Nepal: Examining the efficacy of the analytic hierarchy process","type":"article-journal","volume":"30"},"uris":["http://www.mendeley.com/documents/?uuid=89aab791-8aa1-4ffc-8eb6-d6153eda44c2"]}],"mendeley":{"formattedCitation":"(Thapa &amp; Murayama, 2010)","plainTextFormattedCitation":"(Thapa &amp; Murayama, 2010)","previouslyFormattedCitation":"(Thapa &amp; Murayama, 2010)"},"properties":{"noteIndex":0},"schema":"https://github.com/citation-style-language/schema/raw/master/csl-citation.json"}</w:instrText>
      </w:r>
      <w:r w:rsidRPr="00B74B0E">
        <w:fldChar w:fldCharType="separate"/>
      </w:r>
      <w:r w:rsidR="00B33C15" w:rsidRPr="00B74B0E">
        <w:rPr>
          <w:noProof/>
        </w:rPr>
        <w:t>(Thapa &amp; Murayama, 2010)</w:t>
      </w:r>
      <w:r w:rsidRPr="00B74B0E">
        <w:fldChar w:fldCharType="end"/>
      </w:r>
      <w:r w:rsidR="00B33C15" w:rsidRPr="00B74B0E">
        <w:t xml:space="preserve">.  For example, China has experienced rapid urbanization over the past decades, causing large amounts of agricultural land use areas being converted into built-up or urban land-use areas, exerted extraordinary effects on the environment due to urbanization </w:t>
      </w:r>
      <w:r w:rsidRPr="00B74B0E">
        <w:fldChar w:fldCharType="begin" w:fldLock="1"/>
      </w:r>
      <w:r w:rsidRPr="00B74B0E">
        <w:instrText>ADDIN CSL_CITATION {"citationItems":[{"id":"ITEM-1","itemData":{"DOI":"10.1016/j.habitatint.2010.06.006","ISSN":"01973975","abstract":"The urban land use involves more severe sustainability challenges than agricultural land use. An effective approach for evaluating urban land use is essential for meeting this challenge to improve efficient land use management. This approach must fit into a coherent conceptual and analytical framework covering different aspects, including social, economic, environmental and rational land use structure. A major problem with this is the lack of the evaluation approach for objectively evaluating the sustainability of urban land use in practice. In this paper, an evaluation system for the sustainability of urban land use (ESULU) is presented aimed at rectifying this situation. This is based on 13 indicators drawn from previous literatures in consultation with a group of experts in this field. Principal Component Analysis (PCA) is applied to assist in identifying the major factors for evaluating the sustainability of urban land use. Examination of the results provides a grouping analysis of the capital cities and municipalities, indicating a general disproportion between coastal and interior urban cities in China. The findings lead to further suggestions and recommendations for central and local government to design relevant policy in achieving the sustainable development of urban land use and planning. © 2010 Elsevier Ltd.","author":[{"dropping-particle":"","family":"Zhang","given":"Xiaoling","non-dropping-particle":"","parse-names":false,"suffix":""},{"dropping-particle":"","family":"Wu","given":"Yuzhe","non-dropping-particle":"","parse-names":false,"suffix":""},{"dropping-particle":"","family":"Shen","given":"Liyin","non-dropping-particle":"","parse-names":false,"suffix":""}],"container-title":"Habitat International","id":"ITEM-1","issue":"1","issued":{"date-parts":[["2011"]]},"page":"141-149","publisher":"Elsevier Ltd","title":"An evaluation framework for the sustainability of urban land use: A study of capital cities and municipalities in China","type":"article-journal","volume":"35"},"uris":["http://www.mendeley.com/documents/?uuid=735e8c0a-565d-44cc-ae53-80b605de517e"]}],"mendeley":{"formattedCitation":"(Zhang et al., 2011)","plainTextFormattedCitation":"(Zhang et al., 2011)","previouslyFormattedCitation":"(Zhang et al., 2011)"},"properties":{"noteIndex":0},"schema":"https://github.com/citation-style-language/schema/raw/master/csl-citation.json"}</w:instrText>
      </w:r>
      <w:r w:rsidRPr="00B74B0E">
        <w:fldChar w:fldCharType="separate"/>
      </w:r>
      <w:r w:rsidR="00B33C15" w:rsidRPr="00B74B0E">
        <w:rPr>
          <w:noProof/>
        </w:rPr>
        <w:t>(Zhang et al., 2011)</w:t>
      </w:r>
      <w:r w:rsidRPr="00B74B0E">
        <w:fldChar w:fldCharType="end"/>
      </w:r>
      <w:r w:rsidR="00B33C15" w:rsidRPr="00B74B0E">
        <w:t xml:space="preserve">. </w:t>
      </w:r>
      <w:r w:rsidR="00636BE4" w:rsidRPr="00B74B0E">
        <w:t>Land</w:t>
      </w:r>
      <w:r w:rsidR="00636BE4">
        <w:t>-</w:t>
      </w:r>
      <w:r w:rsidR="00B33C15" w:rsidRPr="00B74B0E">
        <w:t xml:space="preserve">use changes from green areas to </w:t>
      </w:r>
      <w:r w:rsidR="00636BE4" w:rsidRPr="00B74B0E">
        <w:t>newly</w:t>
      </w:r>
      <w:r w:rsidR="00636BE4">
        <w:t>-</w:t>
      </w:r>
      <w:r w:rsidR="1D5A2F8F" w:rsidRPr="00B74B0E">
        <w:t>built</w:t>
      </w:r>
      <w:r w:rsidR="00B33C15" w:rsidRPr="00B74B0E">
        <w:t xml:space="preserve"> structures </w:t>
      </w:r>
      <w:r w:rsidR="78A36013" w:rsidRPr="00B74B0E">
        <w:t>bring</w:t>
      </w:r>
      <w:r w:rsidR="00B33C15" w:rsidRPr="00B74B0E">
        <w:t xml:space="preserve"> about change on the surface of the earth, causing environmental changes such as sunlight absorption and airflow </w:t>
      </w:r>
      <w:r w:rsidRPr="00B74B0E">
        <w:fldChar w:fldCharType="begin" w:fldLock="1"/>
      </w:r>
      <w:r w:rsidRPr="00B74B0E">
        <w:instrText>ADDIN CSL_CITATION {"citationItems":[{"id":"ITEM-1","itemData":{"DOI":"10.1016/j.habitatint.2007.02.006","ISSN":"01973975","abstract":"The urban air temperature is gradually rising in all cities in the world. One of the possible causes is the drastic reduction in the greenery area in cities. It means that land use planning becomes critical in determining the environment quality. This study tries to investigate and identify land use types which have the most influence to the increase of ambient temperature in Singapore. The main tools are remote sensing data and geographical information system (GIS) to obtain a macro view of Singapore and carry out comprehensive analysis at the same time. The data were analyzed by utilizing both qualitative and quantitative methods. Both the qualitative and quantitative analysis results show that the land usage will influence urban temperature. In the daytime, the order of surface temperature in different land use types is industrial, commercial, airport, residential, and park respectively. However, during the night time, the order is commercial, residential, park, industrial, and airport. Therefore, with appropriate land use planning, the urban heat island (UHI) could be mitigated. © 2007 Elsevier Ltd. All rights reserved.","author":[{"dropping-particle":"","family":"Kardinal Jusuf","given":"Steve","non-dropping-particle":"","parse-names":false,"suffix":""},{"dropping-particle":"","family":"Wong","given":"N. H.","non-dropping-particle":"","parse-names":false,"suffix":""},{"dropping-particle":"","family":"Hagen","given":"Emlyn","non-dropping-particle":"","parse-names":false,"suffix":""},{"dropping-particle":"","family":"Anggoro","given":"Roni","non-dropping-particle":"","parse-names":false,"suffix":""},{"dropping-particle":"","family":"Hong","given":"Yan","non-dropping-particle":"","parse-names":false,"suffix":""}],"container-title":"Habitat International","id":"ITEM-1","issue":"2","issued":{"date-parts":[["2007"]]},"page":"232-242","title":"The influence of land use on the urban heat island in Singapore","type":"article-journal","volume":"31"},"uris":["http://www.mendeley.com/documents/?uuid=6186363b-6735-4803-9390-6fe2470d7127"]}],"mendeley":{"formattedCitation":"(Kardinal Jusuf et al., 2007)","plainTextFormattedCitation":"(Kardinal Jusuf et al., 2007)","previouslyFormattedCitation":"(Kardinal Jusuf et al., 2007)"},"properties":{"noteIndex":0},"schema":"https://github.com/citation-style-language/schema/raw/master/csl-citation.json"}</w:instrText>
      </w:r>
      <w:r w:rsidRPr="00B74B0E">
        <w:fldChar w:fldCharType="separate"/>
      </w:r>
      <w:r w:rsidR="00B33C15" w:rsidRPr="00B74B0E">
        <w:rPr>
          <w:noProof/>
        </w:rPr>
        <w:t>(Kardinal Jusuf et al., 2007)</w:t>
      </w:r>
      <w:r w:rsidRPr="00B74B0E">
        <w:fldChar w:fldCharType="end"/>
      </w:r>
      <w:r w:rsidR="00B33C15" w:rsidRPr="00B74B0E">
        <w:t>.</w:t>
      </w:r>
      <w:r w:rsidR="00636BE4">
        <w:t xml:space="preserve"> </w:t>
      </w:r>
      <w:r w:rsidR="00636BE4" w:rsidRPr="00636BE4">
        <w:t xml:space="preserve">Human activities have altered </w:t>
      </w:r>
      <w:r w:rsidR="00636BE4" w:rsidRPr="00636BE4">
        <w:lastRenderedPageBreak/>
        <w:t xml:space="preserve">land surface enormously by transforming natural land to other use, satisfying the expanding interest for food, wood, fuel, minerals, and numerous different needs. </w:t>
      </w:r>
      <w:r w:rsidR="00B33C15" w:rsidRPr="00B74B0E">
        <w:t xml:space="preserve">Such changes considerably </w:t>
      </w:r>
      <w:r w:rsidR="3D5093C3" w:rsidRPr="00B74B0E">
        <w:t>weaken</w:t>
      </w:r>
      <w:r w:rsidR="00B33C15" w:rsidRPr="00B74B0E">
        <w:t xml:space="preserve"> the ecosystem from functioning and provide services. </w:t>
      </w:r>
      <w:r w:rsidR="00636BE4" w:rsidRPr="00636BE4">
        <w:t xml:space="preserve">The development of urban land will naturally escalate competitiveness with other land uses. Additionally, </w:t>
      </w:r>
      <w:r w:rsidR="00636BE4">
        <w:t xml:space="preserve">the </w:t>
      </w:r>
      <w:r w:rsidR="00636BE4" w:rsidRPr="00636BE4">
        <w:t xml:space="preserve">urban land extension will also influence the hydrologic and nutrient cycling processes, further weakening the delivery of ecosystem services </w:t>
      </w:r>
      <w:r w:rsidR="00B33C15" w:rsidRPr="00B74B0E">
        <w:fldChar w:fldCharType="begin" w:fldLock="1"/>
      </w:r>
      <w:r w:rsidR="00B33C15" w:rsidRPr="00B74B0E">
        <w:instrText>ADDIN CSL_CITATION {"citationItems":[{"id":"ITEM-1","itemData":{"DOI":"10.1016/j.scitotenv.2018.10.283","ISSN":"18791026","PMID":"30380484","abstract":"Land change, especially urban land expansion, is increasingly triggered by remote demands for goods and services rather than by purely local drivers, exerting pressure on ecosystem services beyond local boundaries. This effect has been termed as ‘tele-connections’. China has become the world's second largest economy. Understanding the tele-connections between China's future urban growth and its impacts on ecosystem services is essential to reconcile the conflict between socioeconomic developments and ecological protection. To this end, we propose to integrate an urban growth simulation model with the multi-region input-output (MRIO) model, thereby illustrating how urban land consumption in one region can cause ecosystem services’ degradation in another. We explore the decline in ecosystem services due to urban land tele-connections under five shared socioeconomic pathway (SSP) scenarios. The results yield the direct loss of ecosystem services by 1.14–5.42% in food production, 0.06–0.44% in carbon sequestration, 0.09–0.59% in soil retention, 0.05–0.29% in sandstorm prevention, 0.12–0.80% in water retention and 0.19–1.04% in habitat provision. Uneven ecological consequences caused by domestic urban land displacement are witnessed not only in China's peripheral regions but also in developed regions. Shanghai, as the largest city in China, is expected to exert great impacts in terms of the quantity of ecosystem services decline and its spatial extent as well. Overall, the presented scenario simulations can support the establishment of effective compensation strategies toward balancing the responsibility and rights of stakeholders associated with ecological services protection.","author":[{"dropping-particle":"","family":"Chen","given":"Yimin","non-dropping-particle":"","parse-names":false,"suffix":""},{"dropping-particle":"","family":"Li","given":"Xia","non-dropping-particle":"","parse-names":false,"suffix":""},{"dropping-particle":"","family":"Liu","given":"Xiaoping","non-dropping-particle":"","parse-names":false,"suffix":""},{"dropping-particle":"","family":"Zhang","given":"Yuangying","non-dropping-particle":"","parse-names":false,"suffix":""},{"dropping-particle":"","family":"Huang","given":"Min","non-dropping-particle":"","parse-names":false,"suffix":""}],"container-title":"Science of the Total Environment","id":"ITEM-1","issued":{"date-parts":[["2019"]]},"page":"765-779","publisher":"Elsevier B.V.","title":"Tele-connecting China's future urban growth to impacts on ecosystem services under the shared socioeconomic pathways","type":"article-journal","volume":"652"},"uris":["http://www.mendeley.com/documents/?uuid=411317c4-d9fa-48a2-83e3-d02b200a9618"]}],"mendeley":{"formattedCitation":"(Chen et al., 2019)","plainTextFormattedCitation":"(Chen et al., 2019)","previouslyFormattedCitation":"(Chen et al., 2019)"},"properties":{"noteIndex":0},"schema":"https://github.com/citation-style-language/schema/raw/master/csl-citation.json"}</w:instrText>
      </w:r>
      <w:r w:rsidR="00B33C15" w:rsidRPr="00B74B0E">
        <w:fldChar w:fldCharType="separate"/>
      </w:r>
      <w:r w:rsidR="00B33C15" w:rsidRPr="00B74B0E">
        <w:rPr>
          <w:noProof/>
        </w:rPr>
        <w:t>(Chen et al., 2019)</w:t>
      </w:r>
      <w:r w:rsidR="00B33C15" w:rsidRPr="00B74B0E">
        <w:fldChar w:fldCharType="end"/>
      </w:r>
      <w:r w:rsidR="00B33C15" w:rsidRPr="00B74B0E">
        <w:t xml:space="preserve">. </w:t>
      </w:r>
    </w:p>
    <w:p w14:paraId="32E77094" w14:textId="77777777" w:rsidR="00636BE4" w:rsidRPr="00B74B0E" w:rsidRDefault="00636BE4" w:rsidP="00BE3748">
      <w:pPr>
        <w:ind w:left="142"/>
      </w:pPr>
    </w:p>
    <w:p w14:paraId="7C4B09E6" w14:textId="2FE5F97B" w:rsidR="00E41E8C" w:rsidRDefault="00636BE4" w:rsidP="00BE3748">
      <w:pPr>
        <w:ind w:left="142"/>
      </w:pPr>
      <w:r w:rsidRPr="00636BE4">
        <w:t>Land use planning aims to control land use while meeting multiple interests. It is supported by land evaluation, which is a process of assessing a potential land for specific uses. The results from the land evaluation are described in the form of maps as a basis for land use layout planning</w:t>
      </w:r>
      <w:r w:rsidRPr="00636BE4" w:rsidDel="00636BE4">
        <w:t xml:space="preserve"> </w:t>
      </w:r>
      <w:r w:rsidR="00B33C15" w:rsidRPr="00B74B0E">
        <w:t xml:space="preserve"> </w:t>
      </w:r>
      <w:r w:rsidR="00B33C15" w:rsidRPr="00B74B0E">
        <w:fldChar w:fldCharType="begin" w:fldLock="1"/>
      </w:r>
      <w:r w:rsidR="00E44E35" w:rsidRPr="00B74B0E">
        <w:instrText>ADDIN CSL_CITATION {"citationItems":[{"id":"ITEM-1","itemData":{"DOI":"10.3592/2","ISSN":"0852-0011","abstract":"Resistensi pembangunan merupakan polemik yang senantiasa bergulir di dalam masyarakat.    Resistensi ini dipicu dari ketidaksetujuan masyarakat terhadap kebijakan pembangunan yang dibuat    oleh Pemerintah. Untuk menanggulangi permasalahan tersebut perlu ditinjau dari aspek filosofi dan    konsep kebijakan pemanfaatan tanah untuk kepentingan rakyat, hakikat peran Negara sebagai    pemegang kewenangan pengelolaan tanah, serta urgensi perencanaan tataguna lahan. Konsep    pemanfaatan tanah untuk kepentingan rakyat juga didukung dengan adanya konsep negara    kesejahteraan atau dapat disebut juga sebagai konsepsi Pancasila. Konsepsi Pancasila    menitikberatkan pada keadilan sosial yang dalam konteks ini terwujud dalam fungsi sosial tanah.    Untuk mencapai tujuan keadilan sosial tersebut perlu adanya perhatian lebih dari Pemerintah serta    dukungan dari masyarakat terutama dalam hal perencanaan tataguna lahan untuk pembangunan.                          Kata kunci  : Pembangunan, Tataguna Lahan, Kesejahteraan Rakyat.","author":[{"dropping-particle":"","family":"Asrida","given":"T.","non-dropping-particle":"","parse-names":false,"suffix":""}],"container-title":"Gema Keadilan","id":"ITEM-1","issue":"1","issued":{"date-parts":[["2016"]]},"page":"18-27","title":"Perencanaan Tata Guna Lahan Dalam Pembangunan di Indonesia","type":"article-journal","volume":"3"},"uris":["http://www.mendeley.com/documents/?uuid=410a9738-2ce3-409b-baa7-cf4d99d86257"]}],"mendeley":{"formattedCitation":"(Asrida, 2016)","plainTextFormattedCitation":"(Asrida, 2016)","previouslyFormattedCitation":"(Asrida, 2016)"},"properties":{"noteIndex":0},"schema":"https://github.com/citation-style-language/schema/raw/master/csl-citation.json"}</w:instrText>
      </w:r>
      <w:r w:rsidR="00B33C15" w:rsidRPr="00B74B0E">
        <w:fldChar w:fldCharType="separate"/>
      </w:r>
      <w:r w:rsidR="00B33C15" w:rsidRPr="00B74B0E">
        <w:rPr>
          <w:noProof/>
        </w:rPr>
        <w:t>(Asrida, 2016)</w:t>
      </w:r>
      <w:r w:rsidR="00B33C15" w:rsidRPr="00B74B0E">
        <w:fldChar w:fldCharType="end"/>
      </w:r>
      <w:r w:rsidR="00B33C15" w:rsidRPr="00B74B0E">
        <w:t xml:space="preserve">. Monitoring land changes accordingly can help provide significant information for regional management and planning, as well as understanding the socioeconomic and biophysical processes, which is shaping the lands in urban areas </w:t>
      </w:r>
      <w:r w:rsidR="00B33C15" w:rsidRPr="00B74B0E">
        <w:fldChar w:fldCharType="begin" w:fldLock="1"/>
      </w:r>
      <w:r w:rsidR="003E2B06" w:rsidRPr="00B74B0E">
        <w:instrText>ADDIN CSL_CITATION {"citationItems":[{"id":"ITEM-1","itemData":{"DOI":"10.1016/j.apgeog.2014.10.002","ISSN":"01436228","abstract":"Monitoring land changes is an important activity in landscape planning and resource management. In this study, we analyze urban land changes in Atlanta metropolitan area through the combined use of satellite imagery, geographic information systems (GIS), and landscape metrics. The study site is a fast-growing large metropolis in the United States, which contains a mosaic of complex landscape types. Our method consisted of two major components: remote sensing-based land classification and GIS-based land change analysis. Specifically, we adopted a stratified image classification strategy combined with a GIS-based spatial reclassification procedure to map land classes from Landsat Thematic Mapper (TM) scenes acquired in two different years. Then, we analyzed the spatial variation and expansion of urban land changes across the entire metropolitan area through post classification change detection and a variety of GIS-based operations. We further examined the size, pattern, and nature of land changes using landscape metrics to examine the size, pattern, and nature of land changes. This study has demonstrated the usefulness of integrating remote sensing with GIS and landscape metrics in land change analysis that allows the characterization of spatial patterns and helps reveal the underlying processes of urban land changes. Our results indicate a transition of urbanization patterns in the study site with a limited outward expansion despite the dominant suburbanization process.","author":[{"dropping-particle":"","family":"Liu","given":"Ting","non-dropping-particle":"","parse-names":false,"suffix":""},{"dropping-particle":"","family":"Yang","given":"Xiaojun","non-dropping-particle":"","parse-names":false,"suffix":""}],"container-title":"Applied Geography","id":"ITEM-1","issued":{"date-parts":[["2015"]]},"page":"42-54","publisher":"Elsevier Ltd","title":"Monitoring land changes in an urban area using satellite imagery, GIS and landscape metrics","type":"article-journal","volume":"56"},"uris":["http://www.mendeley.com/documents/?uuid=07fc0154-cf74-4c84-adb9-817ed3be41b4"]}],"mendeley":{"formattedCitation":"(T. Liu &amp; Yang, 2015)","plainTextFormattedCitation":"(T. Liu &amp; Yang, 2015)","previouslyFormattedCitation":"(T. Liu &amp; Yang, 2015)"},"properties":{"noteIndex":0},"schema":"https://github.com/citation-style-language/schema/raw/master/csl-citation.json"}</w:instrText>
      </w:r>
      <w:r w:rsidR="00B33C15" w:rsidRPr="00B74B0E">
        <w:fldChar w:fldCharType="separate"/>
      </w:r>
      <w:r w:rsidR="00E44E35" w:rsidRPr="00B74B0E">
        <w:rPr>
          <w:noProof/>
        </w:rPr>
        <w:t>(T. Liu &amp; Yang, 2015)</w:t>
      </w:r>
      <w:r w:rsidR="00B33C15" w:rsidRPr="00B74B0E">
        <w:fldChar w:fldCharType="end"/>
      </w:r>
      <w:r w:rsidR="00B33C15" w:rsidRPr="00B74B0E">
        <w:t>.</w:t>
      </w:r>
      <w:r>
        <w:t xml:space="preserve"> </w:t>
      </w:r>
      <w:r w:rsidR="00E41E8C" w:rsidRPr="00B74B0E">
        <w:t xml:space="preserve">Land cover is described as land which can be observed on the surface of the earth, while land use is defined as how the land is used by humans </w:t>
      </w:r>
      <w:r w:rsidR="00E41E8C" w:rsidRPr="00B74B0E">
        <w:fldChar w:fldCharType="begin" w:fldLock="1"/>
      </w:r>
      <w:r w:rsidR="00E41E8C" w:rsidRPr="00B74B0E">
        <w:instrText>ADDIN CSL_CITATION {"citationItems":[{"id":"ITEM-1","itemData":{"DOI":"10.1016/S0264-8377(02)00081-9","ISSN":"02648377","abstract":"This paper presents a systematic methodology to derive land-use classes from a remotely sensed data derived land cover map at a scale of 1:200,000. The aim of the study is to better understand the land cover/land-use relationship and to enhance the value of a land cover mapping product for the planning and management of natural resources and/or environmental change studies. In the case of the study, the land cover product is generated using the FAO/UNEP \"land cover classification system \". The methodology is heavily determined by the spatial resolution of the satellite imagery, the classification system used and the expert knowledge of the study area. For any given land cover the associated land-uses are identified as well as the land cover/land-use relationship. It is assumed that these relations can be of four types: One to one, one to many, many to one or a combination of any of the aforementioned possibilities. The land cover/land-use relation need not be consistent across the study area. The parameters used for land-use classification are based on a comprehensive review of the literature, in which land cover and land-use are usually amalgamated. A set of decision rules was established to define land-use classes. These decision rules were tested during the field survey, after which they were applied to the whole study area. The concurrence of land cover and land-use delineations is discussed for the classes identified. The result of the study is a detailed, flexible land-use data set in which the various parameters used for classification can be re-grouped according to user needs. © 2003 Elsevier Science Ltd. All rights reserved.","author":[{"dropping-particle":"","family":"Jansen","given":"Louisa J.M.","non-dropping-particle":"","parse-names":false,"suffix":""},{"dropping-particle":"","family":"Gregorio","given":"Antonio","non-dropping-particle":"Di","parse-names":false,"suffix":""}],"container-title":"Land Use Policy","id":"ITEM-1","issue":"2","issued":{"date-parts":[["2003"]]},"page":"131-148","title":"Land-use data collection using the \"land cover classification system\": Results from a case study in Kenya","type":"article-journal","volume":"20"},"uris":["http://www.mendeley.com/documents/?uuid=1160f662-22d7-4d5f-9b3f-934a9aca4849"]}],"mendeley":{"formattedCitation":"(Jansen &amp; Di Gregorio, 2003)","plainTextFormattedCitation":"(Jansen &amp; Di Gregorio, 2003)","previouslyFormattedCitation":"(Jansen &amp; Di Gregorio, 2003)"},"properties":{"noteIndex":0},"schema":"https://github.com/citation-style-language/schema/raw/master/csl-citation.json"}</w:instrText>
      </w:r>
      <w:r w:rsidR="00E41E8C" w:rsidRPr="00B74B0E">
        <w:fldChar w:fldCharType="separate"/>
      </w:r>
      <w:r w:rsidR="00E41E8C" w:rsidRPr="00B74B0E">
        <w:rPr>
          <w:noProof/>
        </w:rPr>
        <w:t>(Jansen &amp; Di Gregorio, 2003)</w:t>
      </w:r>
      <w:r w:rsidR="00E41E8C" w:rsidRPr="00B74B0E">
        <w:fldChar w:fldCharType="end"/>
      </w:r>
      <w:r w:rsidR="00E41E8C" w:rsidRPr="00B74B0E">
        <w:t xml:space="preserve">. </w:t>
      </w:r>
      <w:r>
        <w:t>There are s</w:t>
      </w:r>
      <w:r w:rsidR="00E41E8C" w:rsidRPr="00B74B0E">
        <w:t xml:space="preserve">everal </w:t>
      </w:r>
      <w:r w:rsidR="707FFC48" w:rsidRPr="00B74B0E">
        <w:t>categories</w:t>
      </w:r>
      <w:r w:rsidR="00E41E8C" w:rsidRPr="00B74B0E">
        <w:t xml:space="preserve"> </w:t>
      </w:r>
      <w:r>
        <w:t>of land use, namely</w:t>
      </w:r>
      <w:r w:rsidRPr="00B74B0E">
        <w:t xml:space="preserve"> </w:t>
      </w:r>
      <w:r w:rsidR="00E41E8C" w:rsidRPr="00B74B0E">
        <w:t xml:space="preserve">water area, </w:t>
      </w:r>
      <w:r w:rsidRPr="00B74B0E">
        <w:t>buil</w:t>
      </w:r>
      <w:r>
        <w:t>t</w:t>
      </w:r>
      <w:r w:rsidR="00E41E8C" w:rsidRPr="00B74B0E">
        <w:t xml:space="preserve">-up area, forestland, mines/quarry, unused land, and cultivated land. </w:t>
      </w:r>
      <w:r>
        <w:t>The w</w:t>
      </w:r>
      <w:r w:rsidRPr="00B74B0E">
        <w:t xml:space="preserve">ater </w:t>
      </w:r>
      <w:r w:rsidR="00E41E8C" w:rsidRPr="00B74B0E">
        <w:t>area consists of streams and canals, lakes, reservoirs, bay</w:t>
      </w:r>
      <w:r>
        <w:t>,</w:t>
      </w:r>
      <w:r w:rsidR="00E41E8C" w:rsidRPr="00B74B0E">
        <w:t xml:space="preserve"> and estuaries </w:t>
      </w:r>
      <w:r w:rsidR="00E41E8C" w:rsidRPr="00B74B0E">
        <w:fldChar w:fldCharType="begin" w:fldLock="1"/>
      </w:r>
      <w:r w:rsidR="00E41E8C" w:rsidRPr="00B74B0E">
        <w:instrText>ADDIN CSL_CITATION {"citationItems":[{"id":"ITEM-1","itemData":{"DOI":"10.1016/B0-12-348530-4/00530-0","ISBN":"978-0-12-348530-4","author":[{"dropping-particle":"","family":"LaGro","given":"JA","non-dropping-particle":"","parse-names":false,"suffix":""}],"container-title":"Encyclopedia of Soils in the Environment","id":"ITEM-1","issued":{"date-parts":[["2004"]]},"page":"321-328","title":"Encyclopedia of Soils in the Environment","type":"article-journal"},"uris":["http://www.mendeley.com/documents/?uuid=af62c641-9d19-4290-a359-54c383c411d8"]}],"mendeley":{"formattedCitation":"(LaGro, 2004)","plainTextFormattedCitation":"(LaGro, 2004)","previouslyFormattedCitation":"(LaGro, 2004)"},"properties":{"noteIndex":0},"schema":"https://github.com/citation-style-language/schema/raw/master/csl-citation.json"}</w:instrText>
      </w:r>
      <w:r w:rsidR="00E41E8C" w:rsidRPr="00B74B0E">
        <w:fldChar w:fldCharType="separate"/>
      </w:r>
      <w:r w:rsidR="00E41E8C" w:rsidRPr="00B74B0E">
        <w:rPr>
          <w:noProof/>
        </w:rPr>
        <w:t>(LaGro, 2004)</w:t>
      </w:r>
      <w:r w:rsidR="00E41E8C" w:rsidRPr="00B74B0E">
        <w:fldChar w:fldCharType="end"/>
      </w:r>
      <w:r w:rsidR="00E41E8C" w:rsidRPr="00B74B0E">
        <w:t xml:space="preserve">. </w:t>
      </w:r>
      <w:r w:rsidRPr="00636BE4">
        <w:t>The built-up area includes commercial and man-made structures, like residential areas, roads, and railway lines.</w:t>
      </w:r>
      <w:r>
        <w:t xml:space="preserve"> </w:t>
      </w:r>
      <w:r w:rsidR="00E41E8C" w:rsidRPr="00B74B0E">
        <w:t xml:space="preserve">Forestland </w:t>
      </w:r>
      <w:r w:rsidR="412B4A8E" w:rsidRPr="00B74B0E">
        <w:t xml:space="preserve">is </w:t>
      </w:r>
      <w:r w:rsidR="00E41E8C" w:rsidRPr="00B74B0E">
        <w:t xml:space="preserve">made up of forest covers. Mines or quarry are mining areas </w:t>
      </w:r>
      <w:r w:rsidR="00E41E8C" w:rsidRPr="00B74B0E">
        <w:fldChar w:fldCharType="begin" w:fldLock="1"/>
      </w:r>
      <w:r w:rsidR="00E41E8C" w:rsidRPr="00B74B0E">
        <w:instrText>ADDIN CSL_CITATION {"citationItems":[{"id":"ITEM-1","itemData":{"DOI":"10.3390/rs1030330","ISSN":"20724292","abstract":"Classifying remote sensing imageries to obtain reliable and accurate land use and land cover (LULC) information still remains a challenge that depends on many factors such as complexity of landscape, the remote sensing data selected, image processing and classification methods, etc. The aim of this paper is to extract reliable LULC information from Landsat imageries of the Lower Hunter region of New South Wales, Australia. The classical maximum likelihood classifier (MLC) was first applied to classify Landsat-MSS of 1985 and Landsat-TM of 1995 and 2005. The major LULC identified were Woodland, Pasture/scrubland, Vineyard, Built-up and Water-body. By applying post-classification correction (PCC) using ancillary data and knowledge-based logic rules the overall classification accuracy was improved from about 72% to 91% for 1985 map, 76% to 90% for 1995 map and 79% to 87% for 2005 map. The improved overall Kappa statistics due to PCC were 0.88 for the 1985 map, 0.86 for 1995 and 0.83 for 2005. The PCC maps, assessed by McNemar's test, were found to have much higher accuracy in comparison to their counterpart MLC maps. The overall improvement in classification accuracy of the LULC maps is significant in terms of their potential use for land change modelling of the region. © 2009 by the authors; licensee Molecular Diversity Preservation International, Basel, Switzerland.","author":[{"dropping-particle":"","family":"Manandhar","given":"Ramita","non-dropping-particle":"","parse-names":false,"suffix":""},{"dropping-particle":"","family":"Odehi","given":"Inakwu O.A.","non-dropping-particle":"","parse-names":false,"suffix":""},{"dropping-particle":"","family":"Ancevt","given":"Tiho","non-dropping-particle":"","parse-names":false,"suffix":""}],"container-title":"Remote Sensing","id":"ITEM-1","issue":"3","issued":{"date-parts":[["2009"]]},"page":"330-344","title":"Improving the accuracy of land use and land cover classification of landsat data using post-classification enhancement","type":"article-journal","volume":"1"},"uris":["http://www.mendeley.com/documents/?uuid=e1beb1d1-7c1e-4c05-a5a9-34b9d8e1a296"]}],"mendeley":{"formattedCitation":"(Manandhar et al., 2009)","plainTextFormattedCitation":"(Manandhar et al., 2009)","previouslyFormattedCitation":"(Manandhar et al., 2009)"},"properties":{"noteIndex":0},"schema":"https://github.com/citation-style-language/schema/raw/master/csl-citation.json"}</w:instrText>
      </w:r>
      <w:r w:rsidR="00E41E8C" w:rsidRPr="00B74B0E">
        <w:fldChar w:fldCharType="separate"/>
      </w:r>
      <w:r w:rsidR="00E41E8C" w:rsidRPr="00B74B0E">
        <w:rPr>
          <w:noProof/>
        </w:rPr>
        <w:t>(Manandhar et al., 2009)</w:t>
      </w:r>
      <w:r w:rsidR="00E41E8C" w:rsidRPr="00B74B0E">
        <w:fldChar w:fldCharType="end"/>
      </w:r>
      <w:r w:rsidR="00E41E8C" w:rsidRPr="00B74B0E">
        <w:t xml:space="preserve">. Unused land </w:t>
      </w:r>
      <w:r w:rsidR="3B0CE03E" w:rsidRPr="00B74B0E">
        <w:t xml:space="preserve">is </w:t>
      </w:r>
      <w:r w:rsidR="00E41E8C" w:rsidRPr="00B74B0E">
        <w:t xml:space="preserve">barren lands and cultivated land are farms and other agricultural gardens </w:t>
      </w:r>
      <w:r w:rsidR="00E41E8C" w:rsidRPr="00B74B0E">
        <w:fldChar w:fldCharType="begin" w:fldLock="1"/>
      </w:r>
      <w:r w:rsidR="00E41E8C" w:rsidRPr="00B74B0E">
        <w:instrText>ADDIN CSL_CITATION {"citationItems":[{"id":"ITEM-1","itemData":{"DOI":"10.1080/10106049.2012.705337","ISSN":"10106049","abstract":"The East Kolkata Wetlands is a unique resource recovery system. The Ramsar Convention recognized it as a 'Wetland of International Importance' in August 2002. However, the long-term resource exploitation and land use changes in the dynamic ecosystem have resulted in non-linear environmental responses. This is an attempt using open source remote sensing datasets to capture the spatio-temporal transformation of the wetland resulting from various anthropogenic activities. Landsat MSS and TM imageries of 1973, 1980, 1989, 2001 and 2010 were classified using Maximum Likelihood Classifier to monitor the wetland change; however, to study wetland dynamics, the post-classification wetland change detection maps have been generated for two temporal phases, i.e. 1973-1989 and 1989-2010. This study finds that the area under wetlands has reduced comprehensively in the past 40 years due to the conversion of wetlands into various other uses such as urban expansion of the Kolkata metropolitan city. © 2013 Copyright Taylor and Francis Group, LLC.","author":[{"dropping-particle":"","family":"Parihar","given":"Seema Mehra","non-dropping-particle":"","parse-names":false,"suffix":""},{"dropping-particle":"","family":"Sarkar","given":"Soma","non-dropping-particle":"","parse-names":false,"suffix":""},{"dropping-particle":"","family":"Dutta","given":"Amitava","non-dropping-particle":"","parse-names":false,"suffix":""},{"dropping-particle":"","family":"Sharma","given":"Shilpi","non-dropping-particle":"","parse-names":false,"suffix":""},{"dropping-particle":"","family":"Dutta","given":"Tanushree","non-dropping-particle":"","parse-names":false,"suffix":""}],"container-title":"Geocarto International","id":"ITEM-1","issue":"3","issued":{"date-parts":[["2013"]]},"page":"273-287","title":"Characterizing wetland dynamics: A post-classification change detection analysis of the East Kolkata Wetlands using open source satellite data","type":"article-journal","volume":"28"},"uris":["http://www.mendeley.com/documents/?uuid=d0368760-ada9-4b6a-9ab5-7cd886d9a424"]}],"mendeley":{"formattedCitation":"(Parihar et al., 2013)","plainTextFormattedCitation":"(Parihar et al., 2013)","previouslyFormattedCitation":"(Parihar et al., 2013)"},"properties":{"noteIndex":0},"schema":"https://github.com/citation-style-language/schema/raw/master/csl-citation.json"}</w:instrText>
      </w:r>
      <w:r w:rsidR="00E41E8C" w:rsidRPr="00B74B0E">
        <w:fldChar w:fldCharType="separate"/>
      </w:r>
      <w:r w:rsidR="00E41E8C" w:rsidRPr="00B74B0E">
        <w:rPr>
          <w:noProof/>
        </w:rPr>
        <w:t>(Parihar et al., 2013)</w:t>
      </w:r>
      <w:r w:rsidR="00E41E8C" w:rsidRPr="00B74B0E">
        <w:fldChar w:fldCharType="end"/>
      </w:r>
      <w:r w:rsidR="00E41E8C" w:rsidRPr="00B74B0E">
        <w:t>.</w:t>
      </w:r>
    </w:p>
    <w:p w14:paraId="0E8B6768" w14:textId="77777777" w:rsidR="00636BE4" w:rsidRPr="00B74B0E" w:rsidRDefault="00636BE4" w:rsidP="00BE3748">
      <w:pPr>
        <w:ind w:left="142"/>
      </w:pPr>
    </w:p>
    <w:p w14:paraId="5433B6DE" w14:textId="046B3001" w:rsidR="00B33C15" w:rsidRPr="00B74B0E" w:rsidRDefault="00636BE4" w:rsidP="00636BE4">
      <w:pPr>
        <w:ind w:left="142"/>
      </w:pPr>
      <w:r w:rsidRPr="00636BE4">
        <w:t>Urban Growth and land-use change is a dynamic spatial-temporal cycle, which has received the attention of many organizers, conservationists, biologists, economists, and resource managers</w:t>
      </w:r>
      <w:r w:rsidRPr="00636BE4" w:rsidDel="00636BE4">
        <w:t xml:space="preserve"> </w:t>
      </w:r>
      <w:r w:rsidR="00E41E8C" w:rsidRPr="00B74B0E">
        <w:fldChar w:fldCharType="begin" w:fldLock="1"/>
      </w:r>
      <w:r w:rsidR="00E41E8C" w:rsidRPr="00B74B0E">
        <w:instrText>ADDIN CSL_CITATION {"citationItems":[{"id":"ITEM-1","itemData":{"DOI":"10.1016/j.compenvurbsys.2005.04.001","ISSN":"01989715","abstract":"Spatial models of urban growth have the ability to play an important role in the planning process; if not in aiding in policy decisions, then in processes such as visioning, storytelling, and scenario evaluation. One question that has not adequately been addressed is to what degree does disaggregating land use types from urban/non-urban categories add to these simulations? This paper aims to answer this question by modeling urbanization in San Joaquin County (CA) using the SLEUTH urban growth model with two equal, but different datasets; one with urban/non-urban data, and the other with the same data, but the non-urban data disaggregated in nine land uses. The results show that there is an explicit link between the likelihood of urbanization, and the type of land use that will be converted to urban, and suggest that future exercises using spatial models should not ignore the impact of aggregating individual land use categories into urban-non-urban classes. © 2005 Elsevier Ltd. All rights reserved.","author":[{"dropping-particle":"","family":"Dietzel","given":"Charles","non-dropping-particle":"","parse-names":false,"suffix":""},{"dropping-particle":"","family":"Clarke","given":"Keith","non-dropping-particle":"","parse-names":false,"suffix":""}],"container-title":"Computers, Environment and Urban Systems","id":"ITEM-1","issue":"1","issued":{"date-parts":[["2006"]]},"page":"78-101","title":"The effect of disaggregating land use categories in cellular automata during model calibration and forecasting","type":"article-journal","volume":"30"},"uris":["http://www.mendeley.com/documents/?uuid=cc31d2b3-0021-41fa-9d6c-3cc28c8210f8"]}],"mendeley":{"formattedCitation":"(Dietzel &amp; Clarke, 2006)","plainTextFormattedCitation":"(Dietzel &amp; Clarke, 2006)","previouslyFormattedCitation":"(Dietzel &amp; Clarke, 2006)"},"properties":{"noteIndex":0},"schema":"https://github.com/citation-style-language/schema/raw/master/csl-citation.json"}</w:instrText>
      </w:r>
      <w:r w:rsidR="00E41E8C" w:rsidRPr="00B74B0E">
        <w:fldChar w:fldCharType="separate"/>
      </w:r>
      <w:r w:rsidR="00E41E8C" w:rsidRPr="00B74B0E">
        <w:rPr>
          <w:noProof/>
        </w:rPr>
        <w:t>(Dietzel &amp; Clarke, 2006)</w:t>
      </w:r>
      <w:r w:rsidR="00E41E8C" w:rsidRPr="00B74B0E">
        <w:fldChar w:fldCharType="end"/>
      </w:r>
      <w:r w:rsidR="00E41E8C" w:rsidRPr="00B74B0E">
        <w:t xml:space="preserve">. </w:t>
      </w:r>
      <w:r w:rsidRPr="00636BE4">
        <w:t>Modeling the driving factors, as the influence factors of urban growth, is a challenging process, considering that each region has its own characteristics. Driving factors are typically related to one another, making it possible that one factor can influence another directly or indirectly across the urban growth process</w:t>
      </w:r>
      <w:r w:rsidR="00E41E8C" w:rsidRPr="00B74B0E">
        <w:t xml:space="preserve"> </w:t>
      </w:r>
      <w:r w:rsidR="00E41E8C" w:rsidRPr="00B74B0E">
        <w:fldChar w:fldCharType="begin" w:fldLock="1"/>
      </w:r>
      <w:r w:rsidR="00E41E8C" w:rsidRPr="00B74B0E">
        <w:instrText>ADDIN CSL_CITATION {"citationItems":[{"id":"ITEM-1","itemData":{"DOI":"10.1016/j.apgeog.2009.10.002","ISSN":"01436228","abstract":"This article explores the driving factors of urban growth in Kathmandu Valley using analytic hierarchy process. The dynamic pattern of urban growth in the valley has been greatly influenced by seven driving factors: physical conditions, public service accessibility, economic opportunities, land market, population growth, political situation, and plans and policies. These factors have played important yet different roles in the city core, fringe, and rural areas. Among these factors, economic opportunities in the core, population growth in the fringe, and the political situation in the rural areas are identified as the highest impact factors of urban growth. Due to the lesser land availability in the city core, the land market factor had a smaller role in the core compared to the fringe and rural areas. The plans and policies factor is evaluated as minimally effective in all thematic areas. The physical condition factor had a low impact in the city core and fringe areas, but played a larger role than the economic opportunities, public service accessibility, and plans and policies in the rural areas. Due to spatial disparities in the public service establishments in the valley, the public services accessibility factor had a low impact in the rural area. A representative model of driving factors is presented to explain the overall relationship between the factors in the urban growth process of the metropolitan region. © 2009 Elsevier Ltd. All rights reserved.","author":[{"dropping-particle":"","family":"Thapa","given":"Rajesh Bahadur","non-dropping-particle":"","parse-names":false,"suffix":""},{"dropping-particle":"","family":"Murayama","given":"Yuji","non-dropping-particle":"","parse-names":false,"suffix":""}],"container-title":"Applied Geography","id":"ITEM-1","issue":"1","issued":{"date-parts":[["2010"]]},"page":"70-83","publisher":"Elsevier Ltd","title":"Drivers of urban growth in the Kathmandu valley, Nepal: Examining the efficacy of the analytic hierarchy process","type":"article-journal","volume":"30"},"uris":["http://www.mendeley.com/documents/?uuid=89aab791-8aa1-4ffc-8eb6-d6153eda44c2"]}],"mendeley":{"formattedCitation":"(Thapa &amp; Murayama, 2010)","plainTextFormattedCitation":"(Thapa &amp; Murayama, 2010)","previouslyFormattedCitation":"(Thapa &amp; Murayama, 2010)"},"properties":{"noteIndex":0},"schema":"https://github.com/citation-style-language/schema/raw/master/csl-citation.json"}</w:instrText>
      </w:r>
      <w:r w:rsidR="00E41E8C" w:rsidRPr="00B74B0E">
        <w:fldChar w:fldCharType="separate"/>
      </w:r>
      <w:r w:rsidR="00E41E8C" w:rsidRPr="00B74B0E">
        <w:rPr>
          <w:noProof/>
        </w:rPr>
        <w:t>(Thapa &amp; Murayama, 2010)</w:t>
      </w:r>
      <w:r w:rsidR="00E41E8C" w:rsidRPr="00B74B0E">
        <w:fldChar w:fldCharType="end"/>
      </w:r>
      <w:r w:rsidR="00E41E8C" w:rsidRPr="00B74B0E">
        <w:t>. By integrating driving factors into land cover data, city planner</w:t>
      </w:r>
      <w:r>
        <w:t>s</w:t>
      </w:r>
      <w:r w:rsidR="00E41E8C" w:rsidRPr="00B74B0E">
        <w:t xml:space="preserve"> can commence strategic visions to intervene and manage modifications within urban areas </w:t>
      </w:r>
      <w:r w:rsidR="00E41E8C" w:rsidRPr="00B74B0E">
        <w:fldChar w:fldCharType="begin" w:fldLock="1"/>
      </w:r>
      <w:r w:rsidR="00E41E8C" w:rsidRPr="00B74B0E">
        <w:instrText>ADDIN CSL_CITATION {"citationItems":[{"id":"ITEM-1","itemData":{"DOI":"10.1016/j.cities.2019.03.012","ISSN":"02642751","abstract":"The concept of resilience is progressively capturing the interest of scholars and practitioners in the field of urban policy. This increase in interest is directed towards the need for a better understanding of the conditions for effective and legitimate governance in a complex, interconnected, and volatile world fraught with a new class of poorly understood systematic risk. We are progressively observing resilience as a component of sustainability as the dominant organising frame in the field of urban planning. The application of the adapted Wilkinson (2011) framework, which we situate within a broader framework for evaluating metropolitan plans (Nguyen, Davidson &amp; Gleeson, 2018), reveals the extent to which newly released metropolitan plans are incorporating strategies for social-ecological resilience. Our point is to offer an early assessment of the framing of social-ecological resilience within the embedded understanding of metropolitan planning practice. Our research has revealed that social-ecological resilience thinking has been incorporated only to a limited extent into metropolitan planning strategies worldwide, as demonstrated through the evaluation of our two sites—OneNYC and Plan Melbourne. We have argued that OneNYC incorporates the strategies of social-ecological resilience to a greater extent than Plan Melbourne, possibly pointing to a strengthening governing system by incorporating processes of social learning and adaptation. We conclude by acknowledging the critical insights into the limitations of the reality of implementing these ideas of social-ecological resilience within policy settings (see Duit, 2016), and which requires urgent consideration within a fuller institutional study that must in any case await the fuller roll-out of social-ecological resilience in sustainability agendas within city strategic planning.","author":[{"dropping-particle":"","family":"Davidson","given":"Kathryn","non-dropping-particle":"","parse-names":false,"suffix":""},{"dropping-particle":"","family":"Nguyen","given":"Thi Minh Phuong","non-dropping-particle":"","parse-names":false,"suffix":""},{"dropping-particle":"","family":"Beilin","given":"Ruth","non-dropping-particle":"","parse-names":false,"suffix":""},{"dropping-particle":"","family":"Briggs","given":"Jessie","non-dropping-particle":"","parse-names":false,"suffix":""}],"container-title":"Cities","id":"ITEM-1","issue":"April 2018","issued":{"date-parts":[["2019"]]},"page":"1-9","publisher":"Elsevier","title":"The emerging addition of resilience as a component of sustainability in urban policy","type":"article-journal","volume":"92"},"uris":["http://www.mendeley.com/documents/?uuid=aee78ee8-8932-4104-9732-0b300e2e72ad"]}],"mendeley":{"formattedCitation":"(Davidson et al., 2019)","plainTextFormattedCitation":"(Davidson et al., 2019)","previouslyFormattedCitation":"(Davidson et al., 2019)"},"properties":{"noteIndex":0},"schema":"https://github.com/citation-style-language/schema/raw/master/csl-citation.json"}</w:instrText>
      </w:r>
      <w:r w:rsidR="00E41E8C" w:rsidRPr="00B74B0E">
        <w:fldChar w:fldCharType="separate"/>
      </w:r>
      <w:r w:rsidR="00E41E8C" w:rsidRPr="00B74B0E">
        <w:rPr>
          <w:noProof/>
        </w:rPr>
        <w:t>(Davidson et al., 2019)</w:t>
      </w:r>
      <w:r w:rsidR="00E41E8C" w:rsidRPr="00B74B0E">
        <w:fldChar w:fldCharType="end"/>
      </w:r>
      <w:r w:rsidR="00E41E8C" w:rsidRPr="00B74B0E">
        <w:t>.</w:t>
      </w:r>
      <w:r>
        <w:t xml:space="preserve"> </w:t>
      </w:r>
      <w:r w:rsidRPr="00636BE4">
        <w:t xml:space="preserve">The present study aims to simulate the land-use pattern in a megacity region of Indonesia, namely the Greater Jakarta Area. This study used FLUS Model using the artificial neural network (ANN) to examine the relationship between the driving factors and the land-use changes. </w:t>
      </w:r>
      <w:r w:rsidR="001A60A4" w:rsidRPr="00B74B0E">
        <w:t xml:space="preserve"> More specifically, this study has a presumption that there are significant land-use changes in the urban area. This study only used historical land-use change data to determine future predictions by simulating the </w:t>
      </w:r>
      <w:r w:rsidRPr="00B74B0E">
        <w:t>land</w:t>
      </w:r>
      <w:r>
        <w:t>-</w:t>
      </w:r>
      <w:r w:rsidR="001A60A4" w:rsidRPr="00B74B0E">
        <w:t xml:space="preserve">use change performed using </w:t>
      </w:r>
      <w:proofErr w:type="spellStart"/>
      <w:r w:rsidR="001A60A4" w:rsidRPr="00B74B0E">
        <w:t>GeoSOS</w:t>
      </w:r>
      <w:proofErr w:type="spellEnd"/>
      <w:r w:rsidR="001A60A4" w:rsidRPr="00B74B0E">
        <w:t xml:space="preserve">-FLUS. Using an Artificial Neural Network (ANN) based probability of occurrence estimation to approximate non-linear functions that are dependent on independent variables  </w:t>
      </w:r>
      <w:r w:rsidR="001A60A4" w:rsidRPr="00B74B0E">
        <w:fldChar w:fldCharType="begin" w:fldLock="1"/>
      </w:r>
      <w:r w:rsidR="001A60A4" w:rsidRPr="00B74B0E">
        <w:instrText>ADDIN CSL_CITATION {"citationItems":[{"id":"ITEM-1","itemData":{"DOI":"10.1016/j.landurbplan.2017.09.019","ISSN":"01692046","abstract":"Land use and land cover change (LUCC) simulation models are effective and reproducible tools for analyzing both the causes and consequences of future landscape dynamics under various scenarios. Current simulation models primarily focus on the evolution of specific land use types under the influence of human activities, but they rarely consider background climatic effects. However, these background climate changes significantly affect the landscape dynamics and should be incorporated into long-term LUCC simulations under various human-climate-included scenarios. In this paper, we propose a future land use simulation (FLUS) model that explicitly simulates the long-term spatial trajectories of multiple LUCCs. The top-down system dynamics and bottom-up cellular automata were interactively coupled during the projection period, which improved the model's ability to accurately simulate future land use patterns. A self-adaptive inertia and competition mechanism was developed within the CA model to process the complex competitions and interactions between the different land use types. The proposed model was applied to an LUCC simulation in China from 2000 to 2010. The results show promising grid-to-grid agreement compared to actual land use, and the simulation accuracy is higher than other well-accepted models, such as CLUE-S and CA models. The model was further applied to the simulation of four scenarios from 2010 to 2050 that depict different development strategies by considering various socio-economic and natural climatic factors. The simulation results and findings demonstrate that the proposed model is effective for future LUCC simulation under variously designed scenarios. FLUS is available for free download at http://www.geosimulation.cn/FLUS.html.","author":[{"dropping-particle":"","family":"Liu","given":"Xiaoping","non-dropping-particle":"","parse-names":false,"suffix":""},{"dropping-particle":"","family":"Liang","given":"Xun","non-dropping-particle":"","parse-names":false,"suffix":""},{"dropping-particle":"","family":"Li","given":"Xia","non-dropping-particle":"","parse-names":false,"suffix":""},{"dropping-particle":"","family":"Xu","given":"Xiaocong","non-dropping-particle":"","parse-names":false,"suffix":""},{"dropping-particle":"","family":"Ou","given":"Jinpei","non-dropping-particle":"","parse-names":false,"suffix":""},{"dropping-particle":"","family":"Chen","given":"Yimin","non-dropping-particle":"","parse-names":false,"suffix":""},{"dropping-particle":"","family":"Li","given":"Shaoying","non-dropping-particle":"","parse-names":false,"suffix":""},{"dropping-particle":"","family":"Wang","given":"Shaojian","non-dropping-particle":"","parse-names":false,"suffix":""},{"dropping-particle":"","family":"Pei","given":"Fengsong","non-dropping-particle":"","parse-names":false,"suffix":""}],"container-title":"Landscape and Urban Planning","id":"ITEM-1","issue":"October","issued":{"date-parts":[["2017"]]},"page":"94-116","publisher":"Elsevier","title":"A future land use simulation model (FLUS) for simulating multiple land use scenarios by coupling human and natural effects","type":"article-journal","volume":"168"},"uris":["http://www.mendeley.com/documents/?uuid=1d317494-fc6b-4e2b-8309-48c56d99796e"]}],"mendeley":{"formattedCitation":"(X. Liu et al., 2017)","plainTextFormattedCitation":"(X. Liu et al., 2017)","previouslyFormattedCitation":"(X. Liu et al., 2017)"},"properties":{"noteIndex":0},"schema":"https://github.com/citation-style-language/schema/raw/master/csl-citation.json"}</w:instrText>
      </w:r>
      <w:r w:rsidR="001A60A4" w:rsidRPr="00B74B0E">
        <w:fldChar w:fldCharType="separate"/>
      </w:r>
      <w:r w:rsidR="001A60A4" w:rsidRPr="00B74B0E">
        <w:rPr>
          <w:noProof/>
        </w:rPr>
        <w:t>(X. Liu et al., 2017)</w:t>
      </w:r>
      <w:r w:rsidR="001A60A4" w:rsidRPr="00B74B0E">
        <w:fldChar w:fldCharType="end"/>
      </w:r>
      <w:r w:rsidR="001A60A4" w:rsidRPr="00B74B0E">
        <w:t xml:space="preserve"> and Cellular Automation (CA) elaborate self-adaptive inertia and competition mechanism to address the interaction between urban and non-urban lands </w:t>
      </w:r>
      <w:r w:rsidR="001A60A4" w:rsidRPr="00B74B0E">
        <w:fldChar w:fldCharType="begin" w:fldLock="1"/>
      </w:r>
      <w:r w:rsidR="001A60A4" w:rsidRPr="00B74B0E">
        <w:instrText>ADDIN CSL_CITATION {"citationItems":[{"id":"ITEM-1","itemData":{"DOI":"10.1016/j.landurbplan.2018.04.016","ISSN":"01692046","abstract":"Urban growth boundaries (UGBs) have been commonly regarded as a useful tool for controlling urban sprawl. There is a need to create models that can establish plausible UGBs for fast growing regions. Previous methods have merely focused on establishing a single UGB scenario over different time intervals, but rarely considered the influences of macro policy (e.g., future urban demand) and spatial policy (e.g., master plan) for regional planning. However, the spatial patterns of urban expansion are significantly affected by regional planning. In this paper, a CA-based method called the future land use simulation (FLUS) is applied to the delineation of UGBs. We argue that the delineation needs to integrate the top-down approach with CA for projecting complex land use changes under designed scenarios. The system dynamics model (SD) and cellular automaton model (CA) were interactively coupled in the FLUS model during the projection period. The top-down SD is used to project scenarios that relate to macro policy and socioeconomic status, and the bottom-up CA accounts for urban growth simulations under the influence of different driving factors and spatial planning policies. A morphological technology based on erosion and dilation is further proposed to generate the UGBs from the FLUS model's simulated urban forms. The proposed UGB-FLUS model was applied to the establishment of UGBs in the Pearl River Delta region (PRD) from 2020 to 2050. The results demonstrate that the method can support urban planning by generating feasible patterns for UGBs under different planning scenarios.","author":[{"dropping-particle":"","family":"Liang","given":"Xun","non-dropping-particle":"","parse-names":false,"suffix":""},{"dropping-particle":"","family":"Liu","given":"Xiaoping","non-dropping-particle":"","parse-names":false,"suffix":""},{"dropping-particle":"","family":"Li","given":"Xia","non-dropping-particle":"","parse-names":false,"suffix":""},{"dropping-particle":"","family":"Chen","given":"Yimin","non-dropping-particle":"","parse-names":false,"suffix":""},{"dropping-particle":"","family":"Tian","given":"He","non-dropping-particle":"","parse-names":false,"suffix":""},{"dropping-particle":"","family":"Yao","given":"Yao","non-dropping-particle":"","parse-names":false,"suffix":""}],"container-title":"Landscape and Urban Planning","id":"ITEM-1","issue":"September 2017","issued":{"date-parts":[["2018"]]},"page":"47-63","publisher":"Elsevier","title":"Delineating multi-scenario urban growth boundaries with a CA-based FLUS model and morphological method","type":"article-journal","volume":"177"},"uris":["http://www.mendeley.com/documents/?uuid=b5ed7038-e85c-4a85-902e-6c058b7efeaf"]}],"mendeley":{"formattedCitation":"(Liang, Liu, Li, Chen, et al., 2018)","plainTextFormattedCitation":"(Liang, Liu, Li, Chen, et al., 2018)","previouslyFormattedCitation":"(Liang, Liu, Li, Chen, et al., 2018)"},"properties":{"noteIndex":0},"schema":"https://github.com/citation-style-language/schema/raw/master/csl-citation.json"}</w:instrText>
      </w:r>
      <w:r w:rsidR="001A60A4" w:rsidRPr="00B74B0E">
        <w:fldChar w:fldCharType="separate"/>
      </w:r>
      <w:r w:rsidR="009015F8" w:rsidRPr="00B74B0E">
        <w:rPr>
          <w:noProof/>
        </w:rPr>
        <w:t>(Liang, Liu, Li, Chen, et al., 2018)</w:t>
      </w:r>
      <w:r w:rsidR="001A60A4" w:rsidRPr="00B74B0E">
        <w:fldChar w:fldCharType="end"/>
      </w:r>
      <w:r w:rsidR="001A60A4" w:rsidRPr="00B74B0E">
        <w:t xml:space="preserve">. </w:t>
      </w:r>
    </w:p>
    <w:p w14:paraId="3FC2F1CB" w14:textId="77777777" w:rsidR="00BE3748" w:rsidRPr="00B74B0E" w:rsidRDefault="00BE3748">
      <w:pPr>
        <w:spacing w:before="3"/>
        <w:rPr>
          <w:rFonts w:eastAsia="Times New Roman" w:cs="Times New Roman"/>
          <w:szCs w:val="24"/>
        </w:rPr>
      </w:pPr>
    </w:p>
    <w:p w14:paraId="65ECD557" w14:textId="66D9655A" w:rsidR="00AC43AD" w:rsidRPr="00B74B0E" w:rsidRDefault="00B102E1" w:rsidP="00B74B0E">
      <w:pPr>
        <w:pStyle w:val="Heading1"/>
        <w:numPr>
          <w:ilvl w:val="0"/>
          <w:numId w:val="2"/>
        </w:numPr>
        <w:tabs>
          <w:tab w:val="left" w:pos="422"/>
        </w:tabs>
        <w:rPr>
          <w:rFonts w:cs="Times New Roman"/>
          <w:b w:val="0"/>
          <w:bCs w:val="0"/>
        </w:rPr>
      </w:pPr>
      <w:r w:rsidRPr="00B74B0E">
        <w:rPr>
          <w:rFonts w:cs="Times New Roman"/>
          <w:spacing w:val="-2"/>
        </w:rPr>
        <w:t>LITERATURE REVIEW</w:t>
      </w:r>
    </w:p>
    <w:p w14:paraId="49C148F1" w14:textId="77777777" w:rsidR="00AC43AD" w:rsidRPr="00B74B0E" w:rsidRDefault="00AC43AD">
      <w:pPr>
        <w:rPr>
          <w:rFonts w:eastAsia="Times New Roman" w:cs="Times New Roman"/>
          <w:b/>
          <w:bCs/>
          <w:szCs w:val="24"/>
        </w:rPr>
      </w:pPr>
    </w:p>
    <w:p w14:paraId="4EC391B6" w14:textId="47996A08" w:rsidR="00BE3748" w:rsidRDefault="00B102E1" w:rsidP="00BE3748">
      <w:pPr>
        <w:pStyle w:val="ListParagraph"/>
        <w:numPr>
          <w:ilvl w:val="1"/>
          <w:numId w:val="2"/>
        </w:numPr>
        <w:tabs>
          <w:tab w:val="left" w:pos="484"/>
        </w:tabs>
        <w:rPr>
          <w:rFonts w:cs="Times New Roman"/>
          <w:b/>
          <w:spacing w:val="-2"/>
          <w:szCs w:val="24"/>
        </w:rPr>
      </w:pPr>
      <w:r w:rsidRPr="00BE3748">
        <w:rPr>
          <w:rFonts w:cs="Times New Roman"/>
          <w:b/>
          <w:spacing w:val="-2"/>
          <w:szCs w:val="24"/>
        </w:rPr>
        <w:t>Urban Development</w:t>
      </w:r>
      <w:r w:rsidR="00B74B0E" w:rsidRPr="00BE3748">
        <w:rPr>
          <w:rFonts w:cs="Times New Roman"/>
          <w:b/>
          <w:spacing w:val="-2"/>
          <w:szCs w:val="24"/>
        </w:rPr>
        <w:t xml:space="preserve"> </w:t>
      </w:r>
    </w:p>
    <w:p w14:paraId="0DCDFBD1" w14:textId="764F43F8" w:rsidR="00E44E35" w:rsidRDefault="00E44E35" w:rsidP="00BE3748">
      <w:pPr>
        <w:ind w:left="142"/>
      </w:pPr>
      <w:r w:rsidRPr="00BE3748">
        <w:t xml:space="preserve">Urban development is the result of interactions, choices, and actions taken by multiple agents such as households, businesses, developers, and governments. Households and businesses interact within proximity to their locations. Developers’ actions affect the vicinity that their current projects are developing. While governments’ </w:t>
      </w:r>
      <w:r w:rsidR="00636BE4" w:rsidRPr="00BE3748">
        <w:t>polic</w:t>
      </w:r>
      <w:r w:rsidR="00636BE4">
        <w:t>ies</w:t>
      </w:r>
      <w:r w:rsidRPr="00BE3748">
        <w:t xml:space="preserve">, regulations, and services </w:t>
      </w:r>
      <w:r w:rsidR="7CD1417E" w:rsidRPr="00BE3748">
        <w:t>affect</w:t>
      </w:r>
      <w:r w:rsidRPr="00BE3748">
        <w:t xml:space="preserve"> the state or community it governs. These actions affect ecosystem structures and functions through the land transformation, utilization of resources, and the emissions and waste that it generates. Environmental changes will eventually affect the wellbeing of individuals living in </w:t>
      </w:r>
      <w:r w:rsidRPr="00BE3748">
        <w:lastRenderedPageBreak/>
        <w:t xml:space="preserve">the vicinity, causing </w:t>
      </w:r>
      <w:r w:rsidR="00636BE4">
        <w:t xml:space="preserve">a </w:t>
      </w:r>
      <w:r w:rsidRPr="00BE3748">
        <w:t xml:space="preserve">change in preferences and the decisions they make </w:t>
      </w:r>
      <w:r w:rsidRPr="00BE3748">
        <w:fldChar w:fldCharType="begin" w:fldLock="1"/>
      </w:r>
      <w:r w:rsidR="003E2B06" w:rsidRPr="00BE3748">
        <w:instrText>ADDIN CSL_CITATION {"citationItems":[{"id":"ITEM-1","itemData":{"author":[{"dropping-particle":"","family":"Alberti","given":"Marina","non-dropping-particle":"","parse-names":false,"suffix":""},{"dropping-particle":"","family":"Waddell","given":"Paul","non-dropping-particle":"","parse-names":false,"suffix":""}],"id":"ITEM-1","issued":{"date-parts":[["2000"]]},"page":"215-227","title":"An integrated urban development and ecological simulation model","type":"article-journal","volume":"1"},"uris":["http://www.mendeley.com/documents/?uuid=4913a2cc-86ed-4655-9c28-3a49e80029e5"]}],"mendeley":{"formattedCitation":"(Alberti &amp; Waddell, 2000)","plainTextFormattedCitation":"(Alberti &amp; Waddell, 2000)","previouslyFormattedCitation":"(Alberti &amp; Waddell, 2000)"},"properties":{"noteIndex":0},"schema":"https://github.com/citation-style-language/schema/raw/master/csl-citation.json"}</w:instrText>
      </w:r>
      <w:r w:rsidRPr="00BE3748">
        <w:fldChar w:fldCharType="separate"/>
      </w:r>
      <w:r w:rsidRPr="00BE3748">
        <w:rPr>
          <w:noProof/>
        </w:rPr>
        <w:t>(Alberti &amp; Waddell, 2000)</w:t>
      </w:r>
      <w:r w:rsidRPr="00BE3748">
        <w:fldChar w:fldCharType="end"/>
      </w:r>
      <w:r w:rsidRPr="00BE3748">
        <w:t>.</w:t>
      </w:r>
    </w:p>
    <w:p w14:paraId="24A6CF98" w14:textId="77777777" w:rsidR="00636BE4" w:rsidRPr="00BE3748" w:rsidRDefault="00636BE4" w:rsidP="00BE3748">
      <w:pPr>
        <w:ind w:left="142"/>
        <w:rPr>
          <w:rFonts w:eastAsia="Times New Roman"/>
        </w:rPr>
      </w:pPr>
    </w:p>
    <w:p w14:paraId="7C85F6E0" w14:textId="59EF65A5" w:rsidR="00F724A2" w:rsidRPr="00B74B0E" w:rsidRDefault="00F724A2" w:rsidP="00BE3748">
      <w:pPr>
        <w:ind w:left="142"/>
      </w:pPr>
      <w:r w:rsidRPr="00B74B0E">
        <w:t xml:space="preserve">Land use transformation can be caused by economic growth and urbanization. Lifestyles of an urbanized society create a wide range of market demands, causing agricultural lands to be transformed into industrial facilities, transportation infrastructure, residential and recreational lands, depending on their needs. Urban settlements are characterized by being in central locations, having high population densities, and strong economies, </w:t>
      </w:r>
      <w:r w:rsidR="009D5500" w:rsidRPr="00B74B0E">
        <w:t xml:space="preserve">which </w:t>
      </w:r>
      <w:r w:rsidRPr="00B74B0E">
        <w:t>can affect land value and rent significa</w:t>
      </w:r>
      <w:r w:rsidR="009D5500" w:rsidRPr="00B74B0E">
        <w:t>ntly and with time, will</w:t>
      </w:r>
      <w:r w:rsidRPr="00B74B0E">
        <w:t xml:space="preserve"> lead to urban-rural differential attracting conversions of land from rural to urban uses </w:t>
      </w:r>
      <w:r w:rsidRPr="00B74B0E">
        <w:fldChar w:fldCharType="begin" w:fldLock="1"/>
      </w:r>
      <w:r w:rsidR="003E2B06" w:rsidRPr="00B74B0E">
        <w:instrText>ADDIN CSL_CITATION {"citationItems":[{"id":"ITEM-1","itemData":{"abstract":"This study examines the temporal and spatial changes in land use as a consequence of rapid urban development in the city of Beijing. Using a combination of techniques of remote sensing and GIS, the study identifies a substantial loss of plain dryland and a phenomenal expansion of urban construction land over the recent decade. Geographically, there is a clear shifting of urban construction land from the inner city to the outskirts as a consequence of suburbanization. The outward expansion of the ring-road system is found to be one of the most important driving forces explaining the temporal and spatial pattern of land use change. The uneven distribution of population stands as another factor with significant correlation with land use change. The application of the techniques of remote sensing and GIS can enhance the precision and comparability of research on land use change and urban transformation in China.","author":[{"dropping-particle":"","family":"Xie","given":"Yichun","non-dropping-particle":"","parse-names":false,"suffix":""},{"dropping-particle":"","family":"Fang","given":"Chuanglin","non-dropping-particle":"","parse-names":false,"suffix":""},{"dropping-particle":"","family":"Lin","given":"George C S","non-dropping-particle":"","parse-names":false,"suffix":""},{"dropping-particle":"","family":"Gong","given":"Hongmian","non-dropping-particle":"","parse-names":false,"suffix":""},{"dropping-particle":"","family":"Qiao","given":"Biao","non-dropping-particle":"","parse-names":false,"suffix":""}],"id":"ITEM-1","issued":{"date-parts":[["2007"]]},"page":"2881-2906","title":"Tempo-Spatial Patterns of Land Use Changes and Urban Development in Globalizing China: A Study of Beijing","type":"article-journal"},"uris":["http://www.mendeley.com/documents/?uuid=f832337c-0d11-46b8-b90d-845c62d70cb3"]}],"mendeley":{"formattedCitation":"(Xie et al., 2007)","plainTextFormattedCitation":"(Xie et al., 2007)","previouslyFormattedCitation":"(Xie et al., 2007)"},"properties":{"noteIndex":0},"schema":"https://github.com/citation-style-language/schema/raw/master/csl-citation.json"}</w:instrText>
      </w:r>
      <w:r w:rsidRPr="00B74B0E">
        <w:fldChar w:fldCharType="separate"/>
      </w:r>
      <w:r w:rsidRPr="00B74B0E">
        <w:rPr>
          <w:noProof/>
        </w:rPr>
        <w:t>(Xie et al., 2007)</w:t>
      </w:r>
      <w:r w:rsidRPr="00B74B0E">
        <w:fldChar w:fldCharType="end"/>
      </w:r>
      <w:r w:rsidRPr="00B74B0E">
        <w:t>.</w:t>
      </w:r>
    </w:p>
    <w:p w14:paraId="1D968026" w14:textId="62C3FE86" w:rsidR="00AC43AD" w:rsidRPr="00B74B0E" w:rsidRDefault="00AC43AD">
      <w:pPr>
        <w:spacing w:before="3"/>
        <w:rPr>
          <w:rFonts w:eastAsia="Times New Roman" w:cs="Times New Roman"/>
          <w:szCs w:val="24"/>
        </w:rPr>
      </w:pPr>
    </w:p>
    <w:p w14:paraId="0A591765" w14:textId="3ACAE2C7" w:rsidR="00BE3748" w:rsidRPr="00BE3748" w:rsidRDefault="00B102E1" w:rsidP="00BE3748">
      <w:pPr>
        <w:pStyle w:val="ListParagraph"/>
        <w:numPr>
          <w:ilvl w:val="1"/>
          <w:numId w:val="2"/>
        </w:numPr>
        <w:tabs>
          <w:tab w:val="left" w:pos="484"/>
        </w:tabs>
        <w:rPr>
          <w:rFonts w:cs="Times New Roman"/>
          <w:b/>
          <w:spacing w:val="-2"/>
          <w:szCs w:val="24"/>
        </w:rPr>
      </w:pPr>
      <w:r w:rsidRPr="00BE3748">
        <w:rPr>
          <w:rFonts w:cs="Times New Roman"/>
          <w:b/>
          <w:spacing w:val="-2"/>
          <w:szCs w:val="24"/>
        </w:rPr>
        <w:t>Land-Use Simulation</w:t>
      </w:r>
    </w:p>
    <w:p w14:paraId="3D6F3A08" w14:textId="3A0D7C53" w:rsidR="00F57542" w:rsidRDefault="0044675F" w:rsidP="00BE3748">
      <w:pPr>
        <w:ind w:left="142"/>
        <w:rPr>
          <w:rFonts w:cs="Times New Roman"/>
          <w:spacing w:val="-2"/>
          <w:szCs w:val="24"/>
        </w:rPr>
      </w:pPr>
      <w:r w:rsidRPr="00B74B0E">
        <w:t xml:space="preserve">Spatiotemporal land use and land cover </w:t>
      </w:r>
      <w:r w:rsidR="00E93271" w:rsidRPr="00B74B0E">
        <w:t>change</w:t>
      </w:r>
      <w:r w:rsidR="0038522C" w:rsidRPr="00B74B0E">
        <w:t xml:space="preserve"> (LUCC)</w:t>
      </w:r>
      <w:r w:rsidRPr="00B74B0E">
        <w:t xml:space="preserve"> simulations are a </w:t>
      </w:r>
      <w:r w:rsidR="6F9D9E72" w:rsidRPr="00B74B0E">
        <w:t>cost-effective</w:t>
      </w:r>
      <w:r w:rsidRPr="00B74B0E">
        <w:t xml:space="preserve"> tool for analyzing alternative future landscape dynamics related to socio-economic and natural environmental driving factors</w:t>
      </w:r>
      <w:r w:rsidR="009015F8" w:rsidRPr="00B74B0E">
        <w:t xml:space="preserve"> </w:t>
      </w:r>
      <w:r w:rsidR="009015F8" w:rsidRPr="00B74B0E">
        <w:fldChar w:fldCharType="begin" w:fldLock="1"/>
      </w:r>
      <w:r w:rsidR="009015F8" w:rsidRPr="00B74B0E">
        <w:instrText>ADDIN CSL_CITATION {"citationItems":[{"id":"ITEM-1","itemData":{"DOI":"10.1016/j.landurbplan.2017.09.019","ISSN":"01692046","abstract":"Land use and land cover change (LUCC) simulation models are effective and reproducible tools for analyzing both the causes and consequences of future landscape dynamics under various scenarios. Current simulation models primarily focus on the evolution of specific land use types under the influence of human activities, but they rarely consider background climatic effects. However, these background climate changes significantly affect the landscape dynamics and should be incorporated into long-term LUCC simulations under various human-climate-included scenarios. In this paper, we propose a future land use simulation (FLUS) model that explicitly simulates the long-term spatial trajectories of multiple LUCCs. The top-down system dynamics and bottom-up cellular automata were interactively coupled during the projection period, which improved the model's ability to accurately simulate future land use patterns. A self-adaptive inertia and competition mechanism was developed within the CA model to process the complex competitions and interactions between the different land use types. The proposed model was applied to an LUCC simulation in China from 2000 to 2010. The results show promising grid-to-grid agreement compared to actual land use, and the simulation accuracy is higher than other well-accepted models, such as CLUE-S and CA models. The model was further applied to the simulation of four scenarios from 2010 to 2050 that depict different development strategies by considering various socio-economic and natural climatic factors. The simulation results and findings demonstrate that the proposed model is effective for future LUCC simulation under variously designed scenarios. FLUS is available for free download at http://www.geosimulation.cn/FLUS.html.","author":[{"dropping-particle":"","family":"Liu","given":"Xiaoping","non-dropping-particle":"","parse-names":false,"suffix":""},{"dropping-particle":"","family":"Liang","given":"Xun","non-dropping-particle":"","parse-names":false,"suffix":""},{"dropping-particle":"","family":"Li","given":"Xia","non-dropping-particle":"","parse-names":false,"suffix":""},{"dropping-particle":"","family":"Xu","given":"Xiaocong","non-dropping-particle":"","parse-names":false,"suffix":""},{"dropping-particle":"","family":"Ou","given":"Jinpei","non-dropping-particle":"","parse-names":false,"suffix":""},{"dropping-particle":"","family":"Chen","given":"Yimin","non-dropping-particle":"","parse-names":false,"suffix":""},{"dropping-particle":"","family":"Li","given":"Shaoying","non-dropping-particle":"","parse-names":false,"suffix":""},{"dropping-particle":"","family":"Wang","given":"Shaojian","non-dropping-particle":"","parse-names":false,"suffix":""},{"dropping-particle":"","family":"Pei","given":"Fengsong","non-dropping-particle":"","parse-names":false,"suffix":""}],"container-title":"Landscape and Urban Planning","id":"ITEM-1","issue":"October","issued":{"date-parts":[["2017"]]},"page":"94-116","publisher":"Elsevier","title":"A future land use simulation model (FLUS) for simulating multiple land use scenarios by coupling human and natural effects","type":"article-journal","volume":"168"},"uris":["http://www.mendeley.com/documents/?uuid=1d317494-fc6b-4e2b-8309-48c56d99796e"]}],"mendeley":{"formattedCitation":"(X. Liu et al., 2017)","plainTextFormattedCitation":"(X. Liu et al., 2017)","previouslyFormattedCitation":"(X. Liu et al., 2017)"},"properties":{"noteIndex":0},"schema":"https://github.com/citation-style-language/schema/raw/master/csl-citation.json"}</w:instrText>
      </w:r>
      <w:r w:rsidR="009015F8" w:rsidRPr="00B74B0E">
        <w:fldChar w:fldCharType="separate"/>
      </w:r>
      <w:r w:rsidR="009015F8" w:rsidRPr="00B74B0E">
        <w:rPr>
          <w:noProof/>
        </w:rPr>
        <w:t>(X. Liu et al., 2017)</w:t>
      </w:r>
      <w:r w:rsidR="009015F8" w:rsidRPr="00B74B0E">
        <w:fldChar w:fldCharType="end"/>
      </w:r>
      <w:r w:rsidRPr="00B74B0E">
        <w:t xml:space="preserve">. </w:t>
      </w:r>
      <w:r w:rsidR="00636BE4" w:rsidRPr="00B74B0E">
        <w:t>Decision</w:t>
      </w:r>
      <w:r w:rsidR="00636BE4">
        <w:t>-</w:t>
      </w:r>
      <w:r w:rsidR="0038522C" w:rsidRPr="00B74B0E">
        <w:t>makers can utilize simulations in the early stages of planning, as simulations provide valuable information regarding influences of different development policies or planning scenarios, preventing poor urban development</w:t>
      </w:r>
      <w:r w:rsidR="009015F8" w:rsidRPr="00B74B0E">
        <w:t xml:space="preserve"> </w:t>
      </w:r>
      <w:r w:rsidR="009015F8" w:rsidRPr="00B74B0E">
        <w:fldChar w:fldCharType="begin" w:fldLock="1"/>
      </w:r>
      <w:r w:rsidR="00F57542" w:rsidRPr="00B74B0E">
        <w:instrText>ADDIN CSL_CITATION {"citationItems":[{"id":"ITEM-1","itemData":{"DOI":"10.1016/j.landurbplan.2018.04.016","ISSN":"01692046","abstract":"Urban growth boundaries (UGBs) have been commonly regarded as a useful tool for controlling urban sprawl. There is a need to create models that can establish plausible UGBs for fast growing regions. Previous methods have merely focused on establishing a single UGB scenario over different time intervals, but rarely considered the influences of macro policy (e.g., future urban demand) and spatial policy (e.g., master plan) for regional planning. However, the spatial patterns of urban expansion are significantly affected by regional planning. In this paper, a CA-based method called the future land use simulation (FLUS) is applied to the delineation of UGBs. We argue that the delineation needs to integrate the top-down approach with CA for projecting complex land use changes under designed scenarios. The system dynamics model (SD) and cellular automaton model (CA) were interactively coupled in the FLUS model during the projection period. The top-down SD is used to project scenarios that relate to macro policy and socioeconomic status, and the bottom-up CA accounts for urban growth simulations under the influence of different driving factors and spatial planning policies. A morphological technology based on erosion and dilation is further proposed to generate the UGBs from the FLUS model's simulated urban forms. The proposed UGB-FLUS model was applied to the establishment of UGBs in the Pearl River Delta region (PRD) from 2020 to 2050. The results demonstrate that the method can support urban planning by generating feasible patterns for UGBs under different planning scenarios.","author":[{"dropping-particle":"","family":"Liang","given":"Xun","non-dropping-particle":"","parse-names":false,"suffix":""},{"dropping-particle":"","family":"Liu","given":"Xiaoping","non-dropping-particle":"","parse-names":false,"suffix":""},{"dropping-particle":"","family":"Li","given":"Xia","non-dropping-particle":"","parse-names":false,"suffix":""},{"dropping-particle":"","family":"Chen","given":"Yimin","non-dropping-particle":"","parse-names":false,"suffix":""},{"dropping-particle":"","family":"Tian","given":"He","non-dropping-particle":"","parse-names":false,"suffix":""},{"dropping-particle":"","family":"Yao","given":"Yao","non-dropping-particle":"","parse-names":false,"suffix":""}],"container-title":"Landscape and Urban Planning","id":"ITEM-1","issue":"September 2017","issued":{"date-parts":[["2018"]]},"page":"47-63","publisher":"Elsevier","title":"Delineating multi-scenario urban growth boundaries with a CA-based FLUS model and morphological method","type":"article-journal","volume":"177"},"uris":["http://www.mendeley.com/documents/?uuid=b5ed7038-e85c-4a85-902e-6c058b7efeaf"]}],"mendeley":{"formattedCitation":"(Liang, Liu, Li, Chen, et al., 2018)","plainTextFormattedCitation":"(Liang, Liu, Li, Chen, et al., 2018)","previouslyFormattedCitation":"(Liang, Liu, Li, Chen, et al., 2018)"},"properties":{"noteIndex":0},"schema":"https://github.com/citation-style-language/schema/raw/master/csl-citation.json"}</w:instrText>
      </w:r>
      <w:r w:rsidR="009015F8" w:rsidRPr="00B74B0E">
        <w:fldChar w:fldCharType="separate"/>
      </w:r>
      <w:r w:rsidR="009015F8" w:rsidRPr="00B74B0E">
        <w:rPr>
          <w:noProof/>
        </w:rPr>
        <w:t>(Liang, Liu, Li, Chen, et al., 2018)</w:t>
      </w:r>
      <w:r w:rsidR="009015F8" w:rsidRPr="00B74B0E">
        <w:fldChar w:fldCharType="end"/>
      </w:r>
      <w:r w:rsidR="0038522C" w:rsidRPr="00B74B0E">
        <w:t>.</w:t>
      </w:r>
      <w:r w:rsidR="00636BE4">
        <w:rPr>
          <w:rFonts w:cs="Times New Roman"/>
          <w:spacing w:val="-2"/>
          <w:szCs w:val="24"/>
        </w:rPr>
        <w:t xml:space="preserve"> </w:t>
      </w:r>
      <w:r w:rsidR="003E2B06" w:rsidRPr="00B74B0E">
        <w:rPr>
          <w:rFonts w:cs="Times New Roman"/>
          <w:spacing w:val="-2"/>
          <w:szCs w:val="24"/>
        </w:rPr>
        <w:t xml:space="preserve">Artificial neural networks (ANN) </w:t>
      </w:r>
      <w:r w:rsidR="00636BE4">
        <w:rPr>
          <w:rFonts w:cs="Times New Roman"/>
          <w:spacing w:val="-2"/>
          <w:szCs w:val="24"/>
        </w:rPr>
        <w:t>are</w:t>
      </w:r>
      <w:r w:rsidR="00636BE4" w:rsidRPr="00B74B0E">
        <w:rPr>
          <w:rFonts w:cs="Times New Roman"/>
          <w:spacing w:val="-2"/>
          <w:szCs w:val="24"/>
        </w:rPr>
        <w:t xml:space="preserve"> </w:t>
      </w:r>
      <w:r w:rsidR="003E2B06" w:rsidRPr="00B74B0E">
        <w:rPr>
          <w:rFonts w:cs="Times New Roman"/>
          <w:spacing w:val="-2"/>
          <w:szCs w:val="24"/>
        </w:rPr>
        <w:t xml:space="preserve">another tool used to simulate </w:t>
      </w:r>
      <w:r w:rsidR="00636BE4" w:rsidRPr="00B74B0E">
        <w:rPr>
          <w:rFonts w:cs="Times New Roman"/>
          <w:spacing w:val="-2"/>
          <w:szCs w:val="24"/>
        </w:rPr>
        <w:t>land</w:t>
      </w:r>
      <w:r w:rsidR="00636BE4">
        <w:rPr>
          <w:rFonts w:cs="Times New Roman"/>
          <w:spacing w:val="-2"/>
          <w:szCs w:val="24"/>
        </w:rPr>
        <w:t>-</w:t>
      </w:r>
      <w:r w:rsidR="003E2B06" w:rsidRPr="00B74B0E">
        <w:rPr>
          <w:rFonts w:cs="Times New Roman"/>
          <w:spacing w:val="-2"/>
          <w:szCs w:val="24"/>
        </w:rPr>
        <w:t xml:space="preserve">use change by estimating the probability of occurrence. ANN </w:t>
      </w:r>
      <w:r w:rsidR="009015F8" w:rsidRPr="00B74B0E">
        <w:rPr>
          <w:rFonts w:cs="Times New Roman"/>
          <w:spacing w:val="-2"/>
          <w:szCs w:val="24"/>
        </w:rPr>
        <w:t xml:space="preserve">are machine learning methods commonly used to approximate the nonlinear and complex relationships between land use patterns and their driving factors </w:t>
      </w:r>
      <w:r w:rsidR="009015F8" w:rsidRPr="00B74B0E">
        <w:rPr>
          <w:rFonts w:cs="Times New Roman"/>
          <w:spacing w:val="-2"/>
          <w:szCs w:val="24"/>
        </w:rPr>
        <w:fldChar w:fldCharType="begin" w:fldLock="1"/>
      </w:r>
      <w:r w:rsidR="00F57542" w:rsidRPr="00B74B0E">
        <w:rPr>
          <w:rFonts w:cs="Times New Roman"/>
          <w:spacing w:val="-2"/>
          <w:szCs w:val="24"/>
        </w:rPr>
        <w:instrText>ADDIN CSL_CITATION {"citationItems":[{"id":"ITEM-1","itemData":{"DOI":"10.1080/13658816.2018.1502441","ISSN":"13623087","abstract":"Urban land-use change is affected by urban planning and government decision-making. Previous urban simulation methods focused only on planning constraints that prevent urban growth from developing in specific regions. However, regional planning produces planning policies that drive urban development, such as traffic planning and development zones, which have rarely been considered in previous studies. This study aims to design two mechanisms based on a cellular automata-based future land-use simulation model to integrate different planning drivers into simulations. The first update mechanism considers the influence of traffic planning, while the second mechanism can model the guiding effect of planning development zones. The proposed mechanisms are applied to the Pearl River Delta region, which is one of the fastest growing areas in China. The first mechanism is validated using simulations from 2000–2013 and demonstrates that simulation accuracy is improved by the consideration of traffic planning. In the simulation from 2013–2052, the two mechanisms are implemented and yield more realistic urban spatial patterns. The simulation outcomes can be employed to identify potential urban expansion inside the master plan. The proposed methods can serve as a useful tool that assists planners in their evaluation of urban evolvement under the impact of different planning policies.","author":[{"dropping-particle":"","family":"Liang","given":"Xun","non-dropping-particle":"","parse-names":false,"suffix":""},{"dropping-particle":"","family":"Liu","given":"Xiaoping","non-dropping-particle":"","parse-names":false,"suffix":""},{"dropping-particle":"","family":"Li","given":"Dan","non-dropping-particle":"","parse-names":false,"suffix":""},{"dropping-particle":"","family":"Zhao","given":"Hui","non-dropping-particle":"","parse-names":false,"suffix":""},{"dropping-particle":"","family":"Chen","given":"Guangzhao","non-dropping-particle":"","parse-names":false,"suffix":""}],"container-title":"International Journal of Geographical Information Science","id":"ITEM-1","issue":"11","issued":{"date-parts":[["2018"]]},"page":"2294-2316","publisher":"Taylor &amp; Francis","title":"Urban growth simulation by incorporating planning policies into a CA-based future land-use simulation model","type":"article-journal","volume":"32"},"uris":["http://www.mendeley.com/documents/?uuid=0bc1d4c4-ef83-4112-8ec8-45081ab61182"]}],"mendeley":{"formattedCitation":"(Liang, Liu, Li, Zhao, et al., 2018)","plainTextFormattedCitation":"(Liang, Liu, Li, Zhao, et al., 2018)","previouslyFormattedCitation":"(Liang, Liu, Li, Zhao, et al., 2018)"},"properties":{"noteIndex":0},"schema":"https://github.com/citation-style-language/schema/raw/master/csl-citation.json"}</w:instrText>
      </w:r>
      <w:r w:rsidR="009015F8" w:rsidRPr="00B74B0E">
        <w:rPr>
          <w:rFonts w:cs="Times New Roman"/>
          <w:spacing w:val="-2"/>
          <w:szCs w:val="24"/>
        </w:rPr>
        <w:fldChar w:fldCharType="separate"/>
      </w:r>
      <w:r w:rsidR="009015F8" w:rsidRPr="00B74B0E">
        <w:rPr>
          <w:rFonts w:cs="Times New Roman"/>
          <w:noProof/>
          <w:spacing w:val="-2"/>
          <w:szCs w:val="24"/>
        </w:rPr>
        <w:t>(Liang, Liu, Li, Zhao, et al., 2018)</w:t>
      </w:r>
      <w:r w:rsidR="009015F8" w:rsidRPr="00B74B0E">
        <w:rPr>
          <w:rFonts w:cs="Times New Roman"/>
          <w:spacing w:val="-2"/>
          <w:szCs w:val="24"/>
        </w:rPr>
        <w:fldChar w:fldCharType="end"/>
      </w:r>
      <w:r w:rsidR="009015F8" w:rsidRPr="00B74B0E">
        <w:rPr>
          <w:rFonts w:cs="Times New Roman"/>
          <w:spacing w:val="-2"/>
          <w:szCs w:val="24"/>
        </w:rPr>
        <w:t>.</w:t>
      </w:r>
      <w:r w:rsidR="00F57542" w:rsidRPr="00B74B0E">
        <w:rPr>
          <w:rFonts w:cs="Times New Roman"/>
          <w:spacing w:val="-2"/>
          <w:szCs w:val="24"/>
        </w:rPr>
        <w:t xml:space="preserve"> ANN consists of layers and neurons, allowing it to have learning and recall abilities, especially for non-linear mapping. </w:t>
      </w:r>
      <w:r w:rsidR="000F08A3" w:rsidRPr="00B74B0E">
        <w:rPr>
          <w:rFonts w:cs="Times New Roman"/>
          <w:spacing w:val="-2"/>
          <w:szCs w:val="24"/>
        </w:rPr>
        <w:t>ANN h</w:t>
      </w:r>
      <w:r w:rsidR="6857EF0D" w:rsidRPr="00B74B0E">
        <w:rPr>
          <w:rFonts w:cs="Times New Roman"/>
          <w:spacing w:val="-2"/>
          <w:szCs w:val="24"/>
        </w:rPr>
        <w:t xml:space="preserve">as </w:t>
      </w:r>
      <w:r w:rsidR="000F08A3" w:rsidRPr="00B74B0E">
        <w:rPr>
          <w:rFonts w:cs="Times New Roman"/>
          <w:spacing w:val="-2"/>
          <w:szCs w:val="24"/>
        </w:rPr>
        <w:t xml:space="preserve">seen many </w:t>
      </w:r>
      <w:r w:rsidR="7BDF4B5E" w:rsidRPr="00B74B0E">
        <w:rPr>
          <w:rFonts w:cs="Times New Roman"/>
          <w:spacing w:val="-2"/>
          <w:szCs w:val="24"/>
        </w:rPr>
        <w:t>successes</w:t>
      </w:r>
      <w:r w:rsidR="000F08A3" w:rsidRPr="00B74B0E">
        <w:rPr>
          <w:rFonts w:cs="Times New Roman"/>
          <w:spacing w:val="-2"/>
          <w:szCs w:val="24"/>
        </w:rPr>
        <w:t xml:space="preserve"> when</w:t>
      </w:r>
      <w:r w:rsidR="00F57542" w:rsidRPr="00B74B0E">
        <w:rPr>
          <w:rFonts w:cs="Times New Roman"/>
          <w:spacing w:val="-2"/>
          <w:szCs w:val="24"/>
        </w:rPr>
        <w:t xml:space="preserve"> </w:t>
      </w:r>
      <w:r w:rsidR="000F08A3" w:rsidRPr="00B74B0E">
        <w:rPr>
          <w:rFonts w:cs="Times New Roman"/>
          <w:spacing w:val="-2"/>
          <w:szCs w:val="24"/>
        </w:rPr>
        <w:t>used for</w:t>
      </w:r>
      <w:r w:rsidR="00F57542" w:rsidRPr="00B74B0E">
        <w:rPr>
          <w:rFonts w:cs="Times New Roman"/>
          <w:spacing w:val="-2"/>
          <w:szCs w:val="24"/>
        </w:rPr>
        <w:t xml:space="preserve"> </w:t>
      </w:r>
      <w:r w:rsidR="000F08A3" w:rsidRPr="00B74B0E">
        <w:rPr>
          <w:rFonts w:cs="Times New Roman"/>
          <w:spacing w:val="-2"/>
          <w:szCs w:val="24"/>
        </w:rPr>
        <w:t>analyzing</w:t>
      </w:r>
      <w:r w:rsidR="00F57542" w:rsidRPr="00B74B0E">
        <w:rPr>
          <w:rFonts w:cs="Times New Roman"/>
          <w:spacing w:val="-2"/>
          <w:szCs w:val="24"/>
        </w:rPr>
        <w:t xml:space="preserve"> and modeling geography</w:t>
      </w:r>
      <w:r w:rsidR="000F08A3" w:rsidRPr="00B74B0E">
        <w:rPr>
          <w:rFonts w:cs="Times New Roman"/>
          <w:spacing w:val="-2"/>
          <w:szCs w:val="24"/>
        </w:rPr>
        <w:t xml:space="preserve"> problems </w:t>
      </w:r>
      <w:r w:rsidR="000F08A3" w:rsidRPr="00B74B0E">
        <w:rPr>
          <w:rFonts w:cs="Times New Roman"/>
          <w:spacing w:val="-2"/>
          <w:szCs w:val="24"/>
        </w:rPr>
        <w:fldChar w:fldCharType="begin" w:fldLock="1"/>
      </w:r>
      <w:r w:rsidR="00764A20" w:rsidRPr="00B74B0E">
        <w:rPr>
          <w:rFonts w:cs="Times New Roman"/>
          <w:spacing w:val="-2"/>
          <w:szCs w:val="24"/>
        </w:rPr>
        <w:instrText>ADDIN CSL_CITATION {"citationItems":[{"id":"ITEM-1","itemData":{"DOI":"10.1080/13658810210137004","ISSN":"13658816","abstract":"This paper presents a new method to simulate the evolution of multiple land uses based on the integration of neural networks and cellular automata using GIS. Simulation of multiple land use changes using cellular automata (CA) is difficult because numerous spatial variables and parameters have to be utilized. Conventional CA models have problems in defining simulation parameter values, transition rules and model structures. In this paper, a three-layer neural network with multiple output neurons is designed to calculate conversion probabilities for competing multiple land uses. The model involves iterative looping of the neural network to simulate gradual land use conversion processes. Spatial variables are not deterministic because they are dynamically updated at the end of each loop. A GIS is used to obtain site attributes and training data, and to provide spatial functions for constructing the neural network. The parameter values for modelling are automatically generated by the training procedure of neural networks. The model has been successfully applied to the simulation of multiple land use changes in a fast growing area in southern China.","author":[{"dropping-particle":"","family":"Li","given":"Xia","non-dropping-particle":"","parse-names":false,"suffix":""},{"dropping-particle":"","family":"Yeh","given":"Anthony Gar On","non-dropping-particle":"","parse-names":false,"suffix":""}],"container-title":"International Journal of Geographical Information Science","id":"ITEM-1","issue":"4","issued":{"date-parts":[["2002"]]},"page":"323-343","title":"Neural-network-based cellular automata for simulating multiple land use changes using GIS","type":"article-journal","volume":"16"},"uris":["http://www.mendeley.com/documents/?uuid=e4fb6b90-0a3f-456d-b600-34172fa464af"]}],"mendeley":{"formattedCitation":"(Li &amp; Yeh, 2002)","plainTextFormattedCitation":"(Li &amp; Yeh, 2002)","previouslyFormattedCitation":"(Li &amp; Yeh, 2002)"},"properties":{"noteIndex":0},"schema":"https://github.com/citation-style-language/schema/raw/master/csl-citation.json"}</w:instrText>
      </w:r>
      <w:r w:rsidR="000F08A3" w:rsidRPr="00B74B0E">
        <w:rPr>
          <w:rFonts w:cs="Times New Roman"/>
          <w:spacing w:val="-2"/>
          <w:szCs w:val="24"/>
        </w:rPr>
        <w:fldChar w:fldCharType="separate"/>
      </w:r>
      <w:r w:rsidR="000F08A3" w:rsidRPr="00B74B0E">
        <w:rPr>
          <w:rFonts w:cs="Times New Roman"/>
          <w:noProof/>
          <w:spacing w:val="-2"/>
          <w:szCs w:val="24"/>
        </w:rPr>
        <w:t>(Li &amp; Yeh, 2002)</w:t>
      </w:r>
      <w:r w:rsidR="000F08A3" w:rsidRPr="00B74B0E">
        <w:rPr>
          <w:rFonts w:cs="Times New Roman"/>
          <w:spacing w:val="-2"/>
          <w:szCs w:val="24"/>
        </w:rPr>
        <w:fldChar w:fldCharType="end"/>
      </w:r>
      <w:r w:rsidR="000F08A3" w:rsidRPr="00B74B0E">
        <w:rPr>
          <w:rFonts w:cs="Times New Roman"/>
          <w:spacing w:val="-2"/>
          <w:szCs w:val="24"/>
        </w:rPr>
        <w:t>.</w:t>
      </w:r>
    </w:p>
    <w:p w14:paraId="796D0256" w14:textId="77777777" w:rsidR="00636BE4" w:rsidRPr="00B74B0E" w:rsidRDefault="00636BE4" w:rsidP="00BE3748">
      <w:pPr>
        <w:ind w:left="142"/>
        <w:rPr>
          <w:rFonts w:cs="Times New Roman"/>
          <w:spacing w:val="-2"/>
          <w:szCs w:val="24"/>
        </w:rPr>
      </w:pPr>
    </w:p>
    <w:p w14:paraId="77BE34B1" w14:textId="223177FF" w:rsidR="000F08A3" w:rsidRDefault="00C63DBE" w:rsidP="00BE3748">
      <w:pPr>
        <w:ind w:left="142"/>
      </w:pPr>
      <w:r w:rsidRPr="00B74B0E">
        <w:rPr>
          <w:rFonts w:cs="Times New Roman"/>
          <w:spacing w:val="-2"/>
          <w:szCs w:val="24"/>
        </w:rPr>
        <w:t>Cellular automata (CA) are commonly used to simulate spatial evolution by generating rich patterns that can effectively represent nonlinear spatially stochastic LUCC change. In other words, CA estimates how the land represented by a pixel interact</w:t>
      </w:r>
      <w:r w:rsidR="00C84B54">
        <w:rPr>
          <w:rFonts w:cs="Times New Roman"/>
          <w:spacing w:val="-2"/>
          <w:szCs w:val="24"/>
        </w:rPr>
        <w:t>s</w:t>
      </w:r>
      <w:r w:rsidRPr="00B74B0E">
        <w:rPr>
          <w:rFonts w:cs="Times New Roman"/>
          <w:spacing w:val="-2"/>
          <w:szCs w:val="24"/>
        </w:rPr>
        <w:t xml:space="preserve"> with its surrounding effects and transition rules </w:t>
      </w:r>
      <w:r w:rsidRPr="00B74B0E">
        <w:rPr>
          <w:rFonts w:cs="Times New Roman"/>
          <w:spacing w:val="-2"/>
          <w:szCs w:val="24"/>
        </w:rPr>
        <w:fldChar w:fldCharType="begin" w:fldLock="1"/>
      </w:r>
      <w:r w:rsidRPr="00B74B0E">
        <w:rPr>
          <w:rFonts w:cs="Times New Roman"/>
          <w:spacing w:val="-2"/>
          <w:szCs w:val="24"/>
        </w:rPr>
        <w:instrText>ADDIN CSL_CITATION {"citationItems":[{"id":"ITEM-1","itemData":{"DOI":"10.1016/j.landurbplan.2017.09.019","ISSN":"01692046","abstract":"Land use and land cover change (LUCC) simulation models are effective and reproducible tools for analyzing both the causes and consequences of future landscape dynamics under various scenarios. Current simulation models primarily focus on the evolution of specific land use types under the influence of human activities, but they rarely consider background climatic effects. However, these background climate changes significantly affect the landscape dynamics and should be incorporated into long-term LUCC simulations under various human-climate-included scenarios. In this paper, we propose a future land use simulation (FLUS) model that explicitly simulates the long-term spatial trajectories of multiple LUCCs. The top-down system dynamics and bottom-up cellular automata were interactively coupled during the projection period, which improved the model's ability to accurately simulate future land use patterns. A self-adaptive inertia and competition mechanism was developed within the CA model to process the complex competitions and interactions between the different land use types. The proposed model was applied to an LUCC simulation in China from 2000 to 2010. The results show promising grid-to-grid agreement compared to actual land use, and the simulation accuracy is higher than other well-accepted models, such as CLUE-S and CA models. The model was further applied to the simulation of four scenarios from 2010 to 2050 that depict different development strategies by considering various socio-economic and natural climatic factors. The simulation results and findings demonstrate that the proposed model is effective for future LUCC simulation under variously designed scenarios. FLUS is available for free download at http://www.geosimulation.cn/FLUS.html.","author":[{"dropping-particle":"","family":"Liu","given":"Xiaoping","non-dropping-particle":"","parse-names":false,"suffix":""},{"dropping-particle":"","family":"Liang","given":"Xun","non-dropping-particle":"","parse-names":false,"suffix":""},{"dropping-particle":"","family":"Li","given":"Xia","non-dropping-particle":"","parse-names":false,"suffix":""},{"dropping-particle":"","family":"Xu","given":"Xiaocong","non-dropping-particle":"","parse-names":false,"suffix":""},{"dropping-particle":"","family":"Ou","given":"Jinpei","non-dropping-particle":"","parse-names":false,"suffix":""},{"dropping-particle":"","family":"Chen","given":"Yimin","non-dropping-particle":"","parse-names":false,"suffix":""},{"dropping-particle":"","family":"Li","given":"Shaoying","non-dropping-particle":"","parse-names":false,"suffix":""},{"dropping-particle":"","family":"Wang","given":"Shaojian","non-dropping-particle":"","parse-names":false,"suffix":""},{"dropping-particle":"","family":"Pei","given":"Fengsong","non-dropping-particle":"","parse-names":false,"suffix":""}],"container-title":"Landscape and Urban Planning","id":"ITEM-1","issue":"October","issued":{"date-parts":[["2017"]]},"page":"94-116","publisher":"Elsevier","title":"A future land use simulation model (FLUS) for simulating multiple land use scenarios by coupling human and natural effects","type":"article-journal","volume":"168"},"uris":["http://www.mendeley.com/documents/?uuid=1d317494-fc6b-4e2b-8309-48c56d99796e"]}],"mendeley":{"formattedCitation":"(X. Liu et al., 2017)","plainTextFormattedCitation":"(X. Liu et al., 2017)","previouslyFormattedCitation":"(X. Liu et al., 2017)"},"properties":{"noteIndex":0},"schema":"https://github.com/citation-style-language/schema/raw/master/csl-citation.json"}</w:instrText>
      </w:r>
      <w:r w:rsidRPr="00B74B0E">
        <w:rPr>
          <w:rFonts w:cs="Times New Roman"/>
          <w:spacing w:val="-2"/>
          <w:szCs w:val="24"/>
        </w:rPr>
        <w:fldChar w:fldCharType="separate"/>
      </w:r>
      <w:r w:rsidRPr="00B74B0E">
        <w:rPr>
          <w:rFonts w:cs="Times New Roman"/>
          <w:noProof/>
          <w:spacing w:val="-2"/>
          <w:szCs w:val="24"/>
        </w:rPr>
        <w:t>(X. Liu et al., 2017)</w:t>
      </w:r>
      <w:r w:rsidRPr="00B74B0E">
        <w:rPr>
          <w:rFonts w:cs="Times New Roman"/>
          <w:spacing w:val="-2"/>
          <w:szCs w:val="24"/>
        </w:rPr>
        <w:fldChar w:fldCharType="end"/>
      </w:r>
      <w:r w:rsidRPr="00B74B0E">
        <w:rPr>
          <w:rFonts w:cs="Times New Roman"/>
          <w:spacing w:val="-2"/>
          <w:szCs w:val="24"/>
        </w:rPr>
        <w:t xml:space="preserve">. </w:t>
      </w:r>
      <w:r w:rsidRPr="00B74B0E">
        <w:rPr>
          <w:rFonts w:cs="Times New Roman"/>
          <w:szCs w:val="24"/>
        </w:rPr>
        <w:t>CA models have become popular for urban simulation because they provide a useful tool for understanding evolutionary and complex systems such as cities. Land development takes a lot of time in which development in the past affects the future through interactions among the lands. In CA simulation, the outcome at the previous iteration highly influence</w:t>
      </w:r>
      <w:r w:rsidR="731ED41B" w:rsidRPr="00B74B0E">
        <w:rPr>
          <w:rFonts w:cs="Times New Roman"/>
          <w:szCs w:val="24"/>
        </w:rPr>
        <w:t>s</w:t>
      </w:r>
      <w:r w:rsidRPr="00B74B0E">
        <w:rPr>
          <w:rFonts w:cs="Times New Roman"/>
          <w:szCs w:val="24"/>
        </w:rPr>
        <w:t xml:space="preserve"> the outcome of the next iteration, leading to complex patterns further on. Transition rules also </w:t>
      </w:r>
      <w:r w:rsidR="00C84B54">
        <w:rPr>
          <w:rFonts w:cs="Times New Roman"/>
          <w:szCs w:val="24"/>
        </w:rPr>
        <w:t>a</w:t>
      </w:r>
      <w:r w:rsidR="00C84B54" w:rsidRPr="00B74B0E">
        <w:rPr>
          <w:rFonts w:cs="Times New Roman"/>
          <w:szCs w:val="24"/>
        </w:rPr>
        <w:t xml:space="preserve">ffect </w:t>
      </w:r>
      <w:r w:rsidRPr="00B74B0E">
        <w:rPr>
          <w:rFonts w:cs="Times New Roman"/>
          <w:szCs w:val="24"/>
        </w:rPr>
        <w:t xml:space="preserve">features that can unexpectedly emerge during the simulation </w:t>
      </w:r>
      <w:r w:rsidRPr="00B74B0E">
        <w:rPr>
          <w:rFonts w:cs="Times New Roman"/>
          <w:szCs w:val="24"/>
        </w:rPr>
        <w:fldChar w:fldCharType="begin" w:fldLock="1"/>
      </w:r>
      <w:r w:rsidRPr="00B74B0E">
        <w:rPr>
          <w:rFonts w:cs="Times New Roman"/>
          <w:szCs w:val="24"/>
        </w:rPr>
        <w:instrText>ADDIN CSL_CITATION {"citationItems":[{"id":"ITEM-1","itemData":{"DOI":"10.1080/13658810210137004","ISSN":"13658816","abstract":"This paper presents a new method to simulate the evolution of multiple land uses based on the integration of neural networks and cellular automata using GIS. Simulation of multiple land use changes using cellular automata (CA) is difficult because numerous spatial variables and parameters have to be utilized. Conventional CA models have problems in defining simulation parameter values, transition rules and model structures. In this paper, a three-layer neural network with multiple output neurons is designed to calculate conversion probabilities for competing multiple land uses. The model involves iterative looping of the neural network to simulate gradual land use conversion processes. Spatial variables are not deterministic because they are dynamically updated at the end of each loop. A GIS is used to obtain site attributes and training data, and to provide spatial functions for constructing the neural network. The parameter values for modelling are automatically generated by the training procedure of neural networks. The model has been successfully applied to the simulation of multiple land use changes in a fast growing area in southern China.","author":[{"dropping-particle":"","family":"Li","given":"Xia","non-dropping-particle":"","parse-names":false,"suffix":""},{"dropping-particle":"","family":"Yeh","given":"Anthony Gar On","non-dropping-particle":"","parse-names":false,"suffix":""}],"container-title":"International Journal of Geographical Information Science","id":"ITEM-1","issue":"4","issued":{"date-parts":[["2002"]]},"page":"323-343","title":"Neural-network-based cellular automata for simulating multiple land use changes using GIS","type":"article-journal","volume":"16"},"uris":["http://www.mendeley.com/documents/?uuid=e4fb6b90-0a3f-456d-b600-34172fa464af"]}],"mendeley":{"formattedCitation":"(Li &amp; Yeh, 2002)","plainTextFormattedCitation":"(Li &amp; Yeh, 2002)","previouslyFormattedCitation":"(Li &amp; Yeh, 2002)"},"properties":{"noteIndex":0},"schema":"https://github.com/citation-style-language/schema/raw/master/csl-citation.json"}</w:instrText>
      </w:r>
      <w:r w:rsidRPr="00B74B0E">
        <w:rPr>
          <w:rFonts w:cs="Times New Roman"/>
          <w:szCs w:val="24"/>
        </w:rPr>
        <w:fldChar w:fldCharType="separate"/>
      </w:r>
      <w:r w:rsidRPr="00B74B0E">
        <w:rPr>
          <w:rFonts w:cs="Times New Roman"/>
          <w:noProof/>
          <w:szCs w:val="24"/>
        </w:rPr>
        <w:t>(Li &amp; Yeh, 2002)</w:t>
      </w:r>
      <w:r w:rsidRPr="00B74B0E">
        <w:rPr>
          <w:rFonts w:cs="Times New Roman"/>
          <w:szCs w:val="24"/>
        </w:rPr>
        <w:fldChar w:fldCharType="end"/>
      </w:r>
      <w:r w:rsidRPr="00B74B0E">
        <w:rPr>
          <w:rFonts w:cs="Times New Roman"/>
          <w:szCs w:val="24"/>
        </w:rPr>
        <w:t>.</w:t>
      </w:r>
      <w:r w:rsidR="00636BE4">
        <w:t xml:space="preserve"> </w:t>
      </w:r>
      <w:r w:rsidR="000F08A3" w:rsidRPr="00B74B0E">
        <w:t xml:space="preserve">By </w:t>
      </w:r>
      <w:r w:rsidRPr="00B74B0E">
        <w:t>implementing</w:t>
      </w:r>
      <w:r w:rsidR="00764A20" w:rsidRPr="00B74B0E">
        <w:t xml:space="preserve"> an</w:t>
      </w:r>
      <w:r w:rsidRPr="00B74B0E">
        <w:t xml:space="preserve"> ANN-CA based model, it is possible to simulate multiple </w:t>
      </w:r>
      <w:r w:rsidR="00C84B54" w:rsidRPr="00B74B0E">
        <w:t>land</w:t>
      </w:r>
      <w:r w:rsidR="00C84B54">
        <w:t>-</w:t>
      </w:r>
      <w:r w:rsidRPr="00B74B0E">
        <w:t xml:space="preserve">use changes. The output </w:t>
      </w:r>
      <w:r w:rsidR="00764A20" w:rsidRPr="00B74B0E">
        <w:t>layer from ANN determines the transition probabilities of multiple land</w:t>
      </w:r>
      <w:r w:rsidR="00C84B54">
        <w:t>s</w:t>
      </w:r>
      <w:r w:rsidR="00764A20" w:rsidRPr="00B74B0E">
        <w:t xml:space="preserve"> uses. The parameter required for CA simulation </w:t>
      </w:r>
      <w:r w:rsidR="00844F5F">
        <w:t>is</w:t>
      </w:r>
      <w:r w:rsidR="00844F5F" w:rsidRPr="00B74B0E">
        <w:t xml:space="preserve"> </w:t>
      </w:r>
      <w:r w:rsidR="00764A20" w:rsidRPr="00B74B0E">
        <w:t xml:space="preserve">automatically determined by the training procedure of ANN. This model can deal with the complex relationships between variables because of ANN’s non-linear mapping abilities </w:t>
      </w:r>
      <w:r w:rsidR="00764A20" w:rsidRPr="00B74B0E">
        <w:fldChar w:fldCharType="begin" w:fldLock="1"/>
      </w:r>
      <w:r w:rsidR="00ED423E" w:rsidRPr="00B74B0E">
        <w:instrText>ADDIN CSL_CITATION {"citationItems":[{"id":"ITEM-1","itemData":{"DOI":"10.1080/13658810210137004","ISSN":"13658816","abstract":"This paper presents a new method to simulate the evolution of multiple land uses based on the integration of neural networks and cellular automata using GIS. Simulation of multiple land use changes using cellular automata (CA) is difficult because numerous spatial variables and parameters have to be utilized. Conventional CA models have problems in defining simulation parameter values, transition rules and model structures. In this paper, a three-layer neural network with multiple output neurons is designed to calculate conversion probabilities for competing multiple land uses. The model involves iterative looping of the neural network to simulate gradual land use conversion processes. Spatial variables are not deterministic because they are dynamically updated at the end of each loop. A GIS is used to obtain site attributes and training data, and to provide spatial functions for constructing the neural network. The parameter values for modelling are automatically generated by the training procedure of neural networks. The model has been successfully applied to the simulation of multiple land use changes in a fast growing area in southern China.","author":[{"dropping-particle":"","family":"Li","given":"Xia","non-dropping-particle":"","parse-names":false,"suffix":""},{"dropping-particle":"","family":"Yeh","given":"Anthony Gar On","non-dropping-particle":"","parse-names":false,"suffix":""}],"container-title":"International Journal of Geographical Information Science","id":"ITEM-1","issue":"4","issued":{"date-parts":[["2002"]]},"page":"323-343","title":"Neural-network-based cellular automata for simulating multiple land use changes using GIS","type":"article-journal","volume":"16"},"uris":["http://www.mendeley.com/documents/?uuid=e4fb6b90-0a3f-456d-b600-34172fa464af"]}],"mendeley":{"formattedCitation":"(Li &amp; Yeh, 2002)","plainTextFormattedCitation":"(Li &amp; Yeh, 2002)","previouslyFormattedCitation":"(Li &amp; Yeh, 2002)"},"properties":{"noteIndex":0},"schema":"https://github.com/citation-style-language/schema/raw/master/csl-citation.json"}</w:instrText>
      </w:r>
      <w:r w:rsidR="00764A20" w:rsidRPr="00B74B0E">
        <w:fldChar w:fldCharType="separate"/>
      </w:r>
      <w:r w:rsidR="00764A20" w:rsidRPr="00B74B0E">
        <w:rPr>
          <w:noProof/>
        </w:rPr>
        <w:t>(Li &amp; Yeh, 2002)</w:t>
      </w:r>
      <w:r w:rsidR="00764A20" w:rsidRPr="00B74B0E">
        <w:fldChar w:fldCharType="end"/>
      </w:r>
      <w:r w:rsidR="00764A20" w:rsidRPr="00B74B0E">
        <w:t>.</w:t>
      </w:r>
    </w:p>
    <w:p w14:paraId="18074D7F" w14:textId="77777777" w:rsidR="00AC43AD" w:rsidRPr="00B74B0E" w:rsidRDefault="00AC43AD">
      <w:pPr>
        <w:spacing w:before="7"/>
        <w:rPr>
          <w:rFonts w:eastAsia="Times New Roman" w:cs="Times New Roman"/>
          <w:szCs w:val="24"/>
        </w:rPr>
      </w:pPr>
    </w:p>
    <w:p w14:paraId="6B34AFD1" w14:textId="5EB9AA3C" w:rsidR="00AC43AD" w:rsidRPr="00B74B0E" w:rsidRDefault="00B102E1" w:rsidP="00B74B0E">
      <w:pPr>
        <w:pStyle w:val="Heading1"/>
        <w:numPr>
          <w:ilvl w:val="0"/>
          <w:numId w:val="2"/>
        </w:numPr>
        <w:tabs>
          <w:tab w:val="left" w:pos="422"/>
        </w:tabs>
        <w:rPr>
          <w:rFonts w:cs="Times New Roman"/>
          <w:b w:val="0"/>
          <w:bCs w:val="0"/>
        </w:rPr>
      </w:pPr>
      <w:r w:rsidRPr="00B74B0E">
        <w:rPr>
          <w:rFonts w:cs="Times New Roman"/>
        </w:rPr>
        <w:t>DATA SOURCES AND METHODS</w:t>
      </w:r>
    </w:p>
    <w:p w14:paraId="5F49C4FB" w14:textId="77777777" w:rsidR="00AC43AD" w:rsidRPr="00B74B0E" w:rsidRDefault="00AC43AD">
      <w:pPr>
        <w:spacing w:before="1"/>
        <w:rPr>
          <w:rFonts w:eastAsia="Times New Roman" w:cs="Times New Roman"/>
          <w:b/>
          <w:bCs/>
          <w:szCs w:val="24"/>
        </w:rPr>
      </w:pPr>
    </w:p>
    <w:p w14:paraId="146AB8A6" w14:textId="684EE5C3" w:rsidR="00BE3748" w:rsidRPr="00BE3748" w:rsidRDefault="00B102E1" w:rsidP="00BE3748">
      <w:pPr>
        <w:pStyle w:val="ReferenceHead"/>
      </w:pPr>
      <w:r w:rsidRPr="00BE3748">
        <w:t>Data</w:t>
      </w:r>
      <w:r w:rsidR="00BE3748" w:rsidRPr="00BE3748">
        <w:t xml:space="preserve"> </w:t>
      </w:r>
    </w:p>
    <w:p w14:paraId="3F1D3643" w14:textId="773A8F4D" w:rsidR="005F08FE" w:rsidRPr="00B74B0E" w:rsidRDefault="00844F5F" w:rsidP="00BE3748">
      <w:pPr>
        <w:ind w:left="142"/>
        <w:rPr>
          <w:b/>
        </w:rPr>
      </w:pPr>
      <w:r>
        <w:t>Figure 1 and Figure 2 show t</w:t>
      </w:r>
      <w:r w:rsidR="005F08FE" w:rsidRPr="00B74B0E">
        <w:t xml:space="preserve">he </w:t>
      </w:r>
      <w:r w:rsidR="00DA0307" w:rsidRPr="00B74B0E">
        <w:t xml:space="preserve">spatial dataset used to simulate the LUCC of the </w:t>
      </w:r>
      <w:r>
        <w:t>Jakarta Greater Area</w:t>
      </w:r>
      <w:r w:rsidRPr="00B74B0E">
        <w:t xml:space="preserve"> </w:t>
      </w:r>
      <w:r w:rsidR="00DA0307" w:rsidRPr="00B74B0E">
        <w:t xml:space="preserve">consists of </w:t>
      </w:r>
      <w:r w:rsidR="00AF43E5" w:rsidRPr="00B74B0E">
        <w:t>area boundaries, road networks</w:t>
      </w:r>
      <w:r>
        <w:t>, and DEM data</w:t>
      </w:r>
      <w:r w:rsidR="00AF43E5" w:rsidRPr="00B74B0E">
        <w:t xml:space="preserve"> are taken from Badan </w:t>
      </w:r>
      <w:proofErr w:type="spellStart"/>
      <w:r w:rsidR="00AF43E5" w:rsidRPr="00B74B0E">
        <w:t>Informasi</w:t>
      </w:r>
      <w:proofErr w:type="spellEnd"/>
      <w:r w:rsidR="00AF43E5" w:rsidRPr="00B74B0E">
        <w:t xml:space="preserve"> Geospatial (</w:t>
      </w:r>
      <w:hyperlink r:id="rId11" w:history="1">
        <w:r w:rsidR="00AF43E5" w:rsidRPr="00B74B0E">
          <w:rPr>
            <w:rStyle w:val="Hyperlink"/>
            <w:rFonts w:cs="Times New Roman"/>
            <w:szCs w:val="24"/>
            <w:bdr w:val="none" w:sz="0" w:space="0" w:color="auto" w:frame="1"/>
            <w:lang w:val="en-GB"/>
          </w:rPr>
          <w:t>https://tanahair.indonesia.go.id/portal-web</w:t>
        </w:r>
      </w:hyperlink>
      <w:r w:rsidR="00AF43E5" w:rsidRPr="00B74B0E">
        <w:t>), public facilities such as school districts, hospitals, and green</w:t>
      </w:r>
      <w:r>
        <w:t xml:space="preserve"> </w:t>
      </w:r>
      <w:r w:rsidR="00AF43E5" w:rsidRPr="00B74B0E">
        <w:t>spaces are taken from Open Street Map (</w:t>
      </w:r>
      <w:hyperlink r:id="rId12" w:history="1">
        <w:r w:rsidR="00AF43E5" w:rsidRPr="00B74B0E">
          <w:rPr>
            <w:rStyle w:val="Hyperlink"/>
            <w:rFonts w:cs="Times New Roman"/>
            <w:szCs w:val="24"/>
            <w:bdr w:val="none" w:sz="0" w:space="0" w:color="auto" w:frame="1"/>
            <w:lang w:val="en-GB"/>
          </w:rPr>
          <w:t>https://openstreetmap.id/en/</w:t>
        </w:r>
      </w:hyperlink>
      <w:r w:rsidR="00AF43E5" w:rsidRPr="00B74B0E">
        <w:t>)</w:t>
      </w:r>
      <w:r>
        <w:t>.</w:t>
      </w:r>
      <w:r w:rsidR="003A68BD" w:rsidRPr="00B74B0E">
        <w:t xml:space="preserve"> </w:t>
      </w:r>
    </w:p>
    <w:p w14:paraId="7567C933" w14:textId="362BB96F" w:rsidR="005D2D68" w:rsidRDefault="005D2D68" w:rsidP="00BC4FB1">
      <w:pPr>
        <w:pStyle w:val="BodyText"/>
        <w:spacing w:before="6" w:line="242" w:lineRule="auto"/>
        <w:ind w:right="123"/>
        <w:jc w:val="center"/>
        <w:rPr>
          <w:rFonts w:cs="Times New Roman"/>
          <w:spacing w:val="-2"/>
        </w:rPr>
      </w:pPr>
    </w:p>
    <w:p w14:paraId="4675A7CC" w14:textId="2AB31A19" w:rsidR="00320390" w:rsidRDefault="00320390" w:rsidP="00BC4FB1">
      <w:pPr>
        <w:pStyle w:val="BodyText"/>
        <w:spacing w:before="6" w:line="242" w:lineRule="auto"/>
        <w:ind w:right="123"/>
        <w:jc w:val="center"/>
        <w:rPr>
          <w:rFonts w:cs="Times New Roman"/>
          <w:spacing w:val="-2"/>
        </w:rPr>
      </w:pPr>
    </w:p>
    <w:p w14:paraId="33FCF485" w14:textId="0A3D5814" w:rsidR="00320390" w:rsidRDefault="00320390" w:rsidP="00BC4FB1">
      <w:pPr>
        <w:pStyle w:val="BodyText"/>
        <w:spacing w:before="6" w:line="242" w:lineRule="auto"/>
        <w:ind w:right="123"/>
        <w:jc w:val="center"/>
        <w:rPr>
          <w:rFonts w:cs="Times New Roman"/>
          <w:spacing w:val="-2"/>
        </w:rPr>
      </w:pPr>
    </w:p>
    <w:p w14:paraId="6E68AEDC" w14:textId="41092595" w:rsidR="00320390" w:rsidRDefault="00320390" w:rsidP="00BC4FB1">
      <w:pPr>
        <w:pStyle w:val="BodyText"/>
        <w:spacing w:before="6" w:line="242" w:lineRule="auto"/>
        <w:ind w:right="123"/>
        <w:jc w:val="center"/>
        <w:rPr>
          <w:rFonts w:cs="Times New Roman"/>
          <w:spacing w:val="-2"/>
        </w:rPr>
      </w:pPr>
    </w:p>
    <w:p w14:paraId="16F3A21E" w14:textId="77777777" w:rsidR="00320390" w:rsidRPr="00B74B0E" w:rsidRDefault="00320390" w:rsidP="00BC4FB1">
      <w:pPr>
        <w:pStyle w:val="BodyText"/>
        <w:spacing w:before="6" w:line="242" w:lineRule="auto"/>
        <w:ind w:right="123"/>
        <w:jc w:val="center"/>
        <w:rPr>
          <w:rFonts w:cs="Times New Roman"/>
          <w:spacing w:val="-2"/>
        </w:rPr>
      </w:pPr>
    </w:p>
    <w:p w14:paraId="55F5B47E" w14:textId="020AF096" w:rsidR="003A68BD" w:rsidRPr="00B74B0E" w:rsidRDefault="00286930" w:rsidP="00BC4FB1">
      <w:pPr>
        <w:pStyle w:val="BodyText"/>
        <w:spacing w:before="6" w:line="242" w:lineRule="auto"/>
        <w:ind w:right="123"/>
        <w:jc w:val="center"/>
        <w:rPr>
          <w:rFonts w:cs="Times New Roman"/>
        </w:rPr>
      </w:pPr>
      <w:r>
        <w:rPr>
          <w:rFonts w:cs="Times New Roman"/>
          <w:spacing w:val="-2"/>
        </w:rPr>
        <w:pict w14:anchorId="56513A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8.9pt;height:271.65pt" o:bordertopcolor="this" o:borderleftcolor="this" o:borderbottomcolor="this" o:borderrightcolor="this">
            <v:imagedata r:id="rId13" o:title="Layouts" cropright="9450f"/>
            <w10:bordertop type="single" width="4"/>
            <w10:borderleft type="single" width="4"/>
            <w10:borderbottom type="single" width="4"/>
            <w10:borderright type="single" width="4"/>
          </v:shape>
        </w:pict>
      </w:r>
    </w:p>
    <w:p w14:paraId="40C891D8" w14:textId="1C987B61" w:rsidR="23A8D8BB" w:rsidRDefault="23A8D8BB" w:rsidP="24EACE49">
      <w:pPr>
        <w:pStyle w:val="BodyText"/>
        <w:spacing w:before="6" w:line="242" w:lineRule="auto"/>
        <w:ind w:right="123"/>
        <w:jc w:val="center"/>
        <w:rPr>
          <w:rFonts w:cs="Times New Roman"/>
        </w:rPr>
      </w:pPr>
      <w:r w:rsidRPr="00B74B0E">
        <w:rPr>
          <w:rFonts w:cs="Times New Roman"/>
        </w:rPr>
        <w:t xml:space="preserve">Figure 1. Jakarta </w:t>
      </w:r>
      <w:r w:rsidR="00844F5F">
        <w:rPr>
          <w:rFonts w:cs="Times New Roman"/>
        </w:rPr>
        <w:t>Greater</w:t>
      </w:r>
      <w:r w:rsidR="00844F5F" w:rsidRPr="00B74B0E">
        <w:rPr>
          <w:rFonts w:cs="Times New Roman"/>
        </w:rPr>
        <w:t xml:space="preserve"> </w:t>
      </w:r>
      <w:r w:rsidR="3DC243F4" w:rsidRPr="00B74B0E">
        <w:rPr>
          <w:rFonts w:cs="Times New Roman"/>
        </w:rPr>
        <w:t>Area land use with points of interest, railway, and roads</w:t>
      </w:r>
    </w:p>
    <w:p w14:paraId="1CCD416C" w14:textId="77777777" w:rsidR="00BE3748" w:rsidRPr="00B74B0E" w:rsidRDefault="00BE3748" w:rsidP="24EACE49">
      <w:pPr>
        <w:pStyle w:val="BodyText"/>
        <w:spacing w:before="6" w:line="242" w:lineRule="auto"/>
        <w:ind w:right="123"/>
        <w:jc w:val="center"/>
        <w:rPr>
          <w:rFonts w:cs="Times New Roman"/>
        </w:rPr>
      </w:pPr>
    </w:p>
    <w:p w14:paraId="0A188E78" w14:textId="2A900B52" w:rsidR="005D2D68" w:rsidRDefault="00286930" w:rsidP="00B74B0E">
      <w:pPr>
        <w:pStyle w:val="BodyText"/>
        <w:ind w:right="125"/>
        <w:jc w:val="center"/>
        <w:rPr>
          <w:rFonts w:cs="Times New Roman"/>
          <w:spacing w:val="-2"/>
        </w:rPr>
      </w:pPr>
      <w:r>
        <w:rPr>
          <w:rFonts w:cs="Times New Roman"/>
          <w:spacing w:val="-2"/>
        </w:rPr>
        <w:pict w14:anchorId="0516AF3E">
          <v:shape id="_x0000_i1026" type="#_x0000_t75" style="width:465.25pt;height:100.9pt" o:bordertopcolor="this" o:borderleftcolor="this" o:borderbottomcolor="this" o:borderrightcolor="this">
            <v:imagedata r:id="rId14" o:title="fusion" cropbottom="44246f"/>
            <w10:bordertop type="single" width="4"/>
            <w10:borderleft type="single" width="4"/>
            <w10:borderbottom type="single" width="4"/>
            <w10:borderright type="single" width="4"/>
          </v:shape>
        </w:pict>
      </w:r>
    </w:p>
    <w:p w14:paraId="526CD54C" w14:textId="10A3738C" w:rsidR="00B74B0E" w:rsidRPr="00B74B0E" w:rsidRDefault="00B74B0E" w:rsidP="00B74B0E">
      <w:pPr>
        <w:pStyle w:val="BodyText"/>
        <w:tabs>
          <w:tab w:val="left" w:pos="4678"/>
          <w:tab w:val="left" w:pos="7655"/>
        </w:tabs>
        <w:spacing w:afterAutospacing="1"/>
        <w:ind w:left="1418" w:right="123"/>
        <w:rPr>
          <w:rFonts w:cs="Times New Roman"/>
        </w:rPr>
      </w:pPr>
      <w:r>
        <w:rPr>
          <w:rFonts w:cs="Times New Roman"/>
          <w:spacing w:val="-2"/>
        </w:rPr>
        <w:t>(</w:t>
      </w:r>
      <w:proofErr w:type="spellStart"/>
      <w:r>
        <w:rPr>
          <w:rFonts w:cs="Times New Roman"/>
          <w:spacing w:val="-2"/>
        </w:rPr>
        <w:t>i</w:t>
      </w:r>
      <w:proofErr w:type="spellEnd"/>
      <w:r>
        <w:rPr>
          <w:rFonts w:cs="Times New Roman"/>
          <w:spacing w:val="-2"/>
        </w:rPr>
        <w:t>)</w:t>
      </w:r>
      <w:r>
        <w:rPr>
          <w:rFonts w:cs="Times New Roman"/>
          <w:spacing w:val="-2"/>
        </w:rPr>
        <w:tab/>
        <w:t>(ii)</w:t>
      </w:r>
      <w:r>
        <w:rPr>
          <w:rFonts w:cs="Times New Roman"/>
          <w:spacing w:val="-2"/>
        </w:rPr>
        <w:tab/>
        <w:t>(iii)</w:t>
      </w:r>
    </w:p>
    <w:p w14:paraId="6B617337" w14:textId="77777777" w:rsidR="00B74B0E" w:rsidRDefault="6F39B225" w:rsidP="24EACE49">
      <w:pPr>
        <w:pStyle w:val="BodyText"/>
        <w:spacing w:before="6" w:line="242" w:lineRule="auto"/>
        <w:ind w:right="123"/>
        <w:jc w:val="center"/>
        <w:rPr>
          <w:rFonts w:cs="Times New Roman"/>
        </w:rPr>
      </w:pPr>
      <w:r w:rsidRPr="00B74B0E">
        <w:rPr>
          <w:rFonts w:cs="Times New Roman"/>
        </w:rPr>
        <w:t xml:space="preserve">Figure 2. </w:t>
      </w:r>
      <w:r w:rsidR="34A340EA" w:rsidRPr="00B74B0E">
        <w:rPr>
          <w:rFonts w:cs="Times New Roman"/>
        </w:rPr>
        <w:t>(</w:t>
      </w:r>
      <w:proofErr w:type="spellStart"/>
      <w:r w:rsidR="34A340EA" w:rsidRPr="00B74B0E">
        <w:rPr>
          <w:rFonts w:cs="Times New Roman"/>
        </w:rPr>
        <w:t>i</w:t>
      </w:r>
      <w:proofErr w:type="spellEnd"/>
      <w:r w:rsidR="34A340EA" w:rsidRPr="00B74B0E">
        <w:rPr>
          <w:rFonts w:cs="Times New Roman"/>
        </w:rPr>
        <w:t>) DEM (ii) Slope (iii) Aspect</w:t>
      </w:r>
    </w:p>
    <w:p w14:paraId="02A13687" w14:textId="148DE9FD" w:rsidR="6F39B225" w:rsidRPr="00B74B0E" w:rsidRDefault="34A340EA" w:rsidP="24EACE49">
      <w:pPr>
        <w:pStyle w:val="BodyText"/>
        <w:spacing w:before="6" w:line="242" w:lineRule="auto"/>
        <w:ind w:right="123"/>
        <w:jc w:val="center"/>
        <w:rPr>
          <w:rFonts w:cs="Times New Roman"/>
        </w:rPr>
      </w:pPr>
      <w:r w:rsidRPr="00B74B0E">
        <w:rPr>
          <w:rFonts w:cs="Times New Roman"/>
        </w:rPr>
        <w:t xml:space="preserve"> </w:t>
      </w:r>
    </w:p>
    <w:p w14:paraId="3ADE7C33" w14:textId="1081EA15" w:rsidR="00BE3748" w:rsidRPr="00BE3748" w:rsidRDefault="00B102E1" w:rsidP="00BE3748">
      <w:pPr>
        <w:pStyle w:val="ReferenceHead"/>
      </w:pPr>
      <w:r w:rsidRPr="00BE3748">
        <w:t>Methods</w:t>
      </w:r>
      <w:r w:rsidR="00BE3748" w:rsidRPr="00BE3748">
        <w:t xml:space="preserve"> </w:t>
      </w:r>
      <w:r w:rsidR="00B74B0E" w:rsidRPr="00BE3748">
        <w:t xml:space="preserve"> </w:t>
      </w:r>
    </w:p>
    <w:p w14:paraId="3715AF28" w14:textId="77777777" w:rsidR="00BE3748" w:rsidRDefault="00BE3748" w:rsidP="00BE3748">
      <w:pPr>
        <w:pStyle w:val="ReferenceHead"/>
        <w:numPr>
          <w:ilvl w:val="0"/>
          <w:numId w:val="0"/>
        </w:numPr>
        <w:ind w:left="479"/>
      </w:pPr>
    </w:p>
    <w:p w14:paraId="1D949C26" w14:textId="11157548" w:rsidR="00AC43AD" w:rsidRPr="00B74B0E" w:rsidRDefault="000661A7" w:rsidP="00BE3748">
      <w:pPr>
        <w:ind w:left="142"/>
        <w:rPr>
          <w:b/>
          <w:spacing w:val="-2"/>
        </w:rPr>
      </w:pPr>
      <w:r w:rsidRPr="00B74B0E">
        <w:t xml:space="preserve">This research aims to evaluate the </w:t>
      </w:r>
      <w:r w:rsidR="00844F5F">
        <w:t>FLUS</w:t>
      </w:r>
      <w:r w:rsidR="00844F5F" w:rsidRPr="00B74B0E">
        <w:t xml:space="preserve"> </w:t>
      </w:r>
      <w:r w:rsidRPr="00B74B0E">
        <w:t xml:space="preserve">model application for land-use simulation of Indonesia's megacity region. </w:t>
      </w:r>
      <w:r w:rsidR="00844F5F">
        <w:t>Figure 3 shows the</w:t>
      </w:r>
      <w:r w:rsidR="009B465A" w:rsidRPr="00B74B0E">
        <w:t xml:space="preserve"> 6 stages in this research, composed of spatial data collection (e.g. area boundaries, driving factors, DEM, slope, and aspect), layer conversion into </w:t>
      </w:r>
      <w:proofErr w:type="spellStart"/>
      <w:r w:rsidR="009B465A" w:rsidRPr="00B74B0E">
        <w:t>rasters</w:t>
      </w:r>
      <w:proofErr w:type="spellEnd"/>
      <w:r w:rsidR="00EF6B41" w:rsidRPr="00B74B0E">
        <w:t xml:space="preserve"> using ArcGIS</w:t>
      </w:r>
      <w:r w:rsidR="009B465A" w:rsidRPr="00B74B0E">
        <w:t xml:space="preserve">, Flus model simulations using </w:t>
      </w:r>
      <w:r w:rsidR="00844F5F" w:rsidRPr="00B74B0E">
        <w:t>ANN</w:t>
      </w:r>
      <w:r w:rsidR="00844F5F">
        <w:t>-</w:t>
      </w:r>
      <w:r w:rsidR="009B465A" w:rsidRPr="00B74B0E">
        <w:t xml:space="preserve">based probability of occurrence estimation </w:t>
      </w:r>
      <w:r w:rsidR="00EF6B41" w:rsidRPr="00B74B0E">
        <w:t>along with</w:t>
      </w:r>
      <w:r w:rsidR="009B465A" w:rsidRPr="00B74B0E">
        <w:t xml:space="preserve"> Self-adaptive inertia and competition mechanism CA, precision validation, and finally </w:t>
      </w:r>
      <w:r w:rsidR="00844F5F" w:rsidRPr="00B74B0E">
        <w:t>land</w:t>
      </w:r>
      <w:r w:rsidR="00844F5F">
        <w:t>-</w:t>
      </w:r>
      <w:r w:rsidR="009B465A" w:rsidRPr="00B74B0E">
        <w:t>use allocation analysis.</w:t>
      </w:r>
    </w:p>
    <w:p w14:paraId="30F98927" w14:textId="77777777" w:rsidR="00E72341" w:rsidRPr="00B74B0E" w:rsidRDefault="00E72341" w:rsidP="009B465A">
      <w:pPr>
        <w:spacing w:before="7"/>
        <w:ind w:left="142"/>
        <w:rPr>
          <w:rFonts w:eastAsia="Times New Roman" w:cs="Times New Roman"/>
          <w:bCs/>
          <w:szCs w:val="24"/>
        </w:rPr>
      </w:pPr>
    </w:p>
    <w:p w14:paraId="0FD878FF" w14:textId="7C04946D" w:rsidR="009B465A" w:rsidRPr="00B74B0E" w:rsidRDefault="00376D06" w:rsidP="000661A7">
      <w:pPr>
        <w:spacing w:before="7"/>
        <w:ind w:left="142"/>
        <w:rPr>
          <w:rFonts w:cs="Times New Roman"/>
          <w:szCs w:val="24"/>
        </w:rPr>
      </w:pPr>
      <w:r>
        <w:rPr>
          <w:noProof/>
        </w:rPr>
        <w:drawing>
          <wp:inline distT="0" distB="0" distL="0" distR="0" wp14:anchorId="27A2C14A" wp14:editId="75584688">
            <wp:extent cx="5905502" cy="514350"/>
            <wp:effectExtent l="0" t="0" r="0" b="0"/>
            <wp:docPr id="67564547" name="Picture 67564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564547"/>
                    <pic:cNvPicPr/>
                  </pic:nvPicPr>
                  <pic:blipFill>
                    <a:blip r:embed="rId15">
                      <a:extLst>
                        <a:ext uri="{28A0092B-C50C-407E-A947-70E740481C1C}">
                          <a14:useLocalDpi xmlns:a14="http://schemas.microsoft.com/office/drawing/2010/main" val="0"/>
                        </a:ext>
                      </a:extLst>
                    </a:blip>
                    <a:stretch>
                      <a:fillRect/>
                    </a:stretch>
                  </pic:blipFill>
                  <pic:spPr>
                    <a:xfrm>
                      <a:off x="0" y="0"/>
                      <a:ext cx="5905502" cy="514350"/>
                    </a:xfrm>
                    <a:prstGeom prst="rect">
                      <a:avLst/>
                    </a:prstGeom>
                  </pic:spPr>
                </pic:pic>
              </a:graphicData>
            </a:graphic>
          </wp:inline>
        </w:drawing>
      </w:r>
    </w:p>
    <w:p w14:paraId="7A888475" w14:textId="7B5A9E3A" w:rsidR="7BD6DF7C" w:rsidRPr="00B74B0E" w:rsidRDefault="7BD6DF7C" w:rsidP="24EACE49">
      <w:pPr>
        <w:spacing w:before="7"/>
        <w:ind w:left="142"/>
        <w:jc w:val="center"/>
        <w:rPr>
          <w:rFonts w:eastAsia="Times New Roman" w:cs="Times New Roman"/>
          <w:szCs w:val="24"/>
        </w:rPr>
      </w:pPr>
      <w:r w:rsidRPr="00B74B0E">
        <w:rPr>
          <w:rFonts w:eastAsia="Times New Roman" w:cs="Times New Roman"/>
          <w:szCs w:val="24"/>
        </w:rPr>
        <w:t>Figure 3. Research Stages</w:t>
      </w:r>
    </w:p>
    <w:p w14:paraId="6BC8E152" w14:textId="48441412" w:rsidR="00312B2D" w:rsidRDefault="00312B2D">
      <w:pPr>
        <w:spacing w:before="3"/>
        <w:rPr>
          <w:rFonts w:eastAsia="Times New Roman" w:cs="Times New Roman"/>
          <w:szCs w:val="24"/>
        </w:rPr>
      </w:pPr>
    </w:p>
    <w:p w14:paraId="76C2CEA7" w14:textId="2A7ECDE3" w:rsidR="00844F5F" w:rsidRDefault="00844F5F">
      <w:pPr>
        <w:spacing w:before="3"/>
        <w:rPr>
          <w:rFonts w:eastAsia="Times New Roman" w:cs="Times New Roman"/>
          <w:szCs w:val="24"/>
        </w:rPr>
      </w:pPr>
    </w:p>
    <w:p w14:paraId="5DAD429F" w14:textId="77777777" w:rsidR="00844F5F" w:rsidRPr="00B74B0E" w:rsidRDefault="00844F5F">
      <w:pPr>
        <w:spacing w:before="3"/>
        <w:rPr>
          <w:rFonts w:eastAsia="Times New Roman" w:cs="Times New Roman"/>
          <w:szCs w:val="24"/>
        </w:rPr>
      </w:pPr>
    </w:p>
    <w:p w14:paraId="25126155" w14:textId="7C77118D" w:rsidR="00312B2D" w:rsidRPr="00B74B0E" w:rsidRDefault="00312B2D" w:rsidP="00B74B0E">
      <w:pPr>
        <w:pStyle w:val="Heading1"/>
        <w:numPr>
          <w:ilvl w:val="0"/>
          <w:numId w:val="2"/>
        </w:numPr>
        <w:tabs>
          <w:tab w:val="left" w:pos="422"/>
        </w:tabs>
        <w:rPr>
          <w:rFonts w:cs="Times New Roman"/>
          <w:b w:val="0"/>
          <w:bCs w:val="0"/>
        </w:rPr>
      </w:pPr>
      <w:r w:rsidRPr="00B74B0E">
        <w:rPr>
          <w:rFonts w:cs="Times New Roman"/>
        </w:rPr>
        <w:lastRenderedPageBreak/>
        <w:t>RESULTS AND DISCUSSION</w:t>
      </w:r>
    </w:p>
    <w:p w14:paraId="4D2CD1B2" w14:textId="2179CACA" w:rsidR="00312B2D" w:rsidRPr="00B74B0E" w:rsidRDefault="00312B2D" w:rsidP="00312B2D">
      <w:pPr>
        <w:spacing w:before="1"/>
        <w:rPr>
          <w:rFonts w:eastAsia="Times New Roman" w:cs="Times New Roman"/>
          <w:b/>
          <w:bCs/>
          <w:szCs w:val="24"/>
        </w:rPr>
      </w:pPr>
    </w:p>
    <w:p w14:paraId="6FD0611C" w14:textId="7D8CB860" w:rsidR="00BE3748" w:rsidRPr="00BE3748" w:rsidRDefault="008B447F" w:rsidP="00BE3748">
      <w:pPr>
        <w:pStyle w:val="ReferenceHead"/>
      </w:pPr>
      <w:r w:rsidRPr="00BE3748">
        <w:t>Rasterization</w:t>
      </w:r>
    </w:p>
    <w:p w14:paraId="2C513113" w14:textId="2AC14D49" w:rsidR="006074CC" w:rsidRDefault="00AF43F5" w:rsidP="00BE3748">
      <w:pPr>
        <w:ind w:left="142"/>
      </w:pPr>
      <w:r w:rsidRPr="00B74B0E">
        <w:t xml:space="preserve">To simulate LUCC using </w:t>
      </w:r>
      <w:proofErr w:type="spellStart"/>
      <w:r w:rsidRPr="00B74B0E">
        <w:t>GeoSOS</w:t>
      </w:r>
      <w:proofErr w:type="spellEnd"/>
      <w:r w:rsidRPr="00B74B0E">
        <w:t xml:space="preserve"> </w:t>
      </w:r>
      <w:r w:rsidR="00F70DC7">
        <w:t>FLUS</w:t>
      </w:r>
      <w:r w:rsidRPr="00B74B0E">
        <w:t xml:space="preserve">, </w:t>
      </w:r>
      <w:r w:rsidR="00F70DC7">
        <w:t>firstly, all the raster data are</w:t>
      </w:r>
      <w:r w:rsidRPr="00B74B0E">
        <w:t xml:space="preserve"> converted into the same projected coordinate system and size, which is WGS 84 UTM 48s and 100m x </w:t>
      </w:r>
      <w:proofErr w:type="gramStart"/>
      <w:r w:rsidRPr="00B74B0E">
        <w:t>100m</w:t>
      </w:r>
      <w:proofErr w:type="gramEnd"/>
      <w:r w:rsidRPr="00B74B0E">
        <w:t xml:space="preserve"> respectively. Area of boundaries from 2009, 2014, 2015, 2016, 2017, and 2018 are first clipped to match the </w:t>
      </w:r>
      <w:r w:rsidR="00F70DC7">
        <w:t xml:space="preserve">study area </w:t>
      </w:r>
      <w:r w:rsidR="00F70DC7" w:rsidRPr="00F70DC7">
        <w:t>using tools from ArcMap</w:t>
      </w:r>
      <w:r w:rsidRPr="00B74B0E">
        <w:t xml:space="preserve">. </w:t>
      </w:r>
      <w:r w:rsidR="00F70DC7" w:rsidRPr="00F70DC7">
        <w:t>The clipped map</w:t>
      </w:r>
      <w:r w:rsidR="00F70DC7">
        <w:t>s</w:t>
      </w:r>
      <w:r w:rsidR="00F70DC7" w:rsidRPr="00F70DC7">
        <w:t xml:space="preserve"> </w:t>
      </w:r>
      <w:r w:rsidR="00F70DC7">
        <w:t>are</w:t>
      </w:r>
      <w:r w:rsidR="00F70DC7" w:rsidRPr="00F70DC7">
        <w:t xml:space="preserve"> reclassified to a specific classification, </w:t>
      </w:r>
      <w:proofErr w:type="gramStart"/>
      <w:r w:rsidR="00F70DC7" w:rsidRPr="00F70DC7">
        <w:t>namely,</w:t>
      </w:r>
      <w:r w:rsidR="00F70DC7" w:rsidRPr="00F70DC7" w:rsidDel="00F70DC7">
        <w:t xml:space="preserve"> </w:t>
      </w:r>
      <w:r w:rsidRPr="00B74B0E">
        <w:t xml:space="preserve"> water</w:t>
      </w:r>
      <w:proofErr w:type="gramEnd"/>
      <w:r w:rsidRPr="00B74B0E">
        <w:t xml:space="preserve"> area, unused land, cultivated land, build-up area, forestland, and mining area. Driving factors such as points of interest (e.g. hospital, schools, green</w:t>
      </w:r>
      <w:r w:rsidR="00F70DC7">
        <w:t xml:space="preserve"> </w:t>
      </w:r>
      <w:r w:rsidRPr="00B74B0E">
        <w:t xml:space="preserve">spaces, and government buildings), roads, and railways will be filtered accordingly, clipped, and changed into </w:t>
      </w:r>
      <w:proofErr w:type="spellStart"/>
      <w:r w:rsidRPr="00B74B0E">
        <w:t>rasters</w:t>
      </w:r>
      <w:proofErr w:type="spellEnd"/>
      <w:r w:rsidRPr="00B74B0E">
        <w:t xml:space="preserve">. </w:t>
      </w:r>
      <w:r w:rsidR="0002037E" w:rsidRPr="00B74B0E">
        <w:t xml:space="preserve">Figure </w:t>
      </w:r>
      <w:r w:rsidR="29175043" w:rsidRPr="00B74B0E">
        <w:t>4</w:t>
      </w:r>
      <w:r w:rsidR="0002037E" w:rsidRPr="00B74B0E">
        <w:rPr>
          <w:color w:val="FF0000"/>
        </w:rPr>
        <w:t xml:space="preserve"> </w:t>
      </w:r>
      <w:r w:rsidR="0002037E" w:rsidRPr="00B74B0E">
        <w:t>represents the raster used in this paper.</w:t>
      </w:r>
    </w:p>
    <w:p w14:paraId="44ED941D" w14:textId="77777777" w:rsidR="00BE3748" w:rsidRPr="00B74B0E" w:rsidRDefault="00BE3748" w:rsidP="0033510B">
      <w:pPr>
        <w:pStyle w:val="ReferenceHead"/>
        <w:numPr>
          <w:ilvl w:val="0"/>
          <w:numId w:val="0"/>
        </w:numPr>
        <w:ind w:left="479"/>
      </w:pPr>
    </w:p>
    <w:p w14:paraId="489B5E42" w14:textId="43483A33" w:rsidR="00CF5EFF" w:rsidRPr="00B74B0E" w:rsidRDefault="00286930" w:rsidP="0033510B">
      <w:pPr>
        <w:jc w:val="center"/>
      </w:pPr>
      <w:r>
        <w:pict w14:anchorId="49BA4E1F">
          <v:shape id="_x0000_i1027" type="#_x0000_t75" style="width:289.1pt;height:338.2pt" o:bordertopcolor="this" o:borderleftcolor="this" o:borderbottomcolor="this" o:borderrightcolor="this">
            <v:imagedata r:id="rId16" o:title="12 fusion" cropbottom="1076f" cropleft="3794f" cropright="3097f"/>
            <w10:bordertop type="single" width="4"/>
            <w10:borderleft type="single" width="4"/>
            <w10:borderbottom type="single" width="4"/>
            <w10:borderright type="single" width="4"/>
          </v:shape>
        </w:pict>
      </w:r>
    </w:p>
    <w:p w14:paraId="17505C70" w14:textId="246A57BB" w:rsidR="008B7AB6" w:rsidRDefault="008B7AB6" w:rsidP="003D04BD">
      <w:pPr>
        <w:ind w:left="142"/>
      </w:pPr>
      <w:r w:rsidRPr="00B74B0E">
        <w:t xml:space="preserve">Figure </w:t>
      </w:r>
      <w:r w:rsidR="1AD1D4C3" w:rsidRPr="00B74B0E">
        <w:t>4</w:t>
      </w:r>
      <w:r w:rsidRPr="00B74B0E">
        <w:t xml:space="preserve">. </w:t>
      </w:r>
      <w:proofErr w:type="spellStart"/>
      <w:r w:rsidR="245002DB" w:rsidRPr="00B74B0E">
        <w:t>R</w:t>
      </w:r>
      <w:r w:rsidRPr="00B74B0E">
        <w:t>asters</w:t>
      </w:r>
      <w:proofErr w:type="spellEnd"/>
      <w:r w:rsidRPr="00B74B0E">
        <w:t xml:space="preserve"> used in this paper: (</w:t>
      </w:r>
      <w:proofErr w:type="spellStart"/>
      <w:r w:rsidRPr="00B74B0E">
        <w:t>i</w:t>
      </w:r>
      <w:proofErr w:type="spellEnd"/>
      <w:r w:rsidRPr="00B74B0E">
        <w:t>) 2018 land use (ii) 2017 land use  (iii) 2016 land use (iv) 2015 land use (v) 2014 land use (vi) 2009 land use (vii) points of interest (viii) railway (ix) roads (x) DEM (xi) slope (xii) aspect</w:t>
      </w:r>
    </w:p>
    <w:p w14:paraId="1EB45B4E" w14:textId="77777777" w:rsidR="0033510B" w:rsidRPr="00B74B0E" w:rsidRDefault="0033510B" w:rsidP="0033510B"/>
    <w:p w14:paraId="453CD240" w14:textId="54BEBC3D" w:rsidR="00BE3748" w:rsidRPr="00BE3748" w:rsidRDefault="001610C9" w:rsidP="00BE3748">
      <w:pPr>
        <w:pStyle w:val="ReferenceHead"/>
      </w:pPr>
      <w:r w:rsidRPr="00BE3748">
        <w:t>ANN</w:t>
      </w:r>
      <w:r>
        <w:t>-</w:t>
      </w:r>
      <w:r w:rsidR="008B447F" w:rsidRPr="00BE3748">
        <w:t>based probability of occurrence estimation</w:t>
      </w:r>
    </w:p>
    <w:p w14:paraId="376311DC" w14:textId="30038D11" w:rsidR="00AF43F5" w:rsidRPr="00BE3748" w:rsidRDefault="00AF43F5" w:rsidP="0033510B">
      <w:pPr>
        <w:ind w:left="142"/>
        <w:rPr>
          <w:spacing w:val="-2"/>
        </w:rPr>
      </w:pPr>
      <w:r w:rsidRPr="00BE3748">
        <w:t xml:space="preserve">Once all the </w:t>
      </w:r>
      <w:proofErr w:type="spellStart"/>
      <w:r w:rsidRPr="00BE3748">
        <w:t>rasters</w:t>
      </w:r>
      <w:proofErr w:type="spellEnd"/>
      <w:r w:rsidRPr="00BE3748">
        <w:t xml:space="preserve"> are in the same projected coordinate system and size, </w:t>
      </w:r>
      <w:r w:rsidR="001610C9">
        <w:t xml:space="preserve">the </w:t>
      </w:r>
      <w:r w:rsidR="001610C9" w:rsidRPr="00BE3748">
        <w:t>ANN</w:t>
      </w:r>
      <w:r w:rsidR="001610C9">
        <w:t>-</w:t>
      </w:r>
      <w:r w:rsidRPr="00BE3748">
        <w:t xml:space="preserve">based probability of occurrence estimation </w:t>
      </w:r>
      <w:r w:rsidR="001610C9">
        <w:t>is</w:t>
      </w:r>
      <w:r w:rsidRPr="00BE3748">
        <w:t xml:space="preserve"> performed. </w:t>
      </w:r>
      <w:r w:rsidR="001610C9">
        <w:t>The probability map is used</w:t>
      </w:r>
      <w:r w:rsidRPr="00BE3748">
        <w:t xml:space="preserve"> for the Self-adaptive inertia and competition mechanism CA process. With a sampling rate of 0.5%, all </w:t>
      </w:r>
      <w:proofErr w:type="spellStart"/>
      <w:r w:rsidR="00E17712" w:rsidRPr="00BE3748">
        <w:t>rasters</w:t>
      </w:r>
      <w:proofErr w:type="spellEnd"/>
      <w:r w:rsidRPr="00BE3748">
        <w:t xml:space="preserve"> from 2009, 2014, 2015, 2016, 2017, and 2018 will be tested with all the driving factors, DEM, slope, and aspect as its driving data. </w:t>
      </w:r>
      <w:r w:rsidR="006717B6" w:rsidRPr="00BE3748">
        <w:t xml:space="preserve">The results of the </w:t>
      </w:r>
      <w:r w:rsidR="001610C9" w:rsidRPr="00BE3748">
        <w:t>ANN</w:t>
      </w:r>
      <w:r w:rsidR="001610C9">
        <w:t>-</w:t>
      </w:r>
      <w:r w:rsidR="006717B6" w:rsidRPr="00BE3748">
        <w:t xml:space="preserve">based estimation </w:t>
      </w:r>
      <w:proofErr w:type="gramStart"/>
      <w:r w:rsidR="006717B6" w:rsidRPr="00BE3748">
        <w:t>shows</w:t>
      </w:r>
      <w:proofErr w:type="gramEnd"/>
      <w:r w:rsidR="006717B6" w:rsidRPr="00BE3748">
        <w:t xml:space="preserve"> the </w:t>
      </w:r>
      <w:r w:rsidR="0020598A" w:rsidRPr="00BE3748">
        <w:t>Root Mean Square Error (</w:t>
      </w:r>
      <w:r w:rsidR="006717B6" w:rsidRPr="00BE3748">
        <w:t>RMSE</w:t>
      </w:r>
      <w:r w:rsidR="0020598A" w:rsidRPr="00BE3748">
        <w:t>)</w:t>
      </w:r>
      <w:r w:rsidR="006717B6" w:rsidRPr="00BE3748">
        <w:t xml:space="preserve"> value of each year</w:t>
      </w:r>
      <w:r w:rsidR="0020598A" w:rsidRPr="00BE3748">
        <w:t xml:space="preserve"> which</w:t>
      </w:r>
      <w:r w:rsidR="006717B6" w:rsidRPr="00BE3748">
        <w:t xml:space="preserve"> can be seen in </w:t>
      </w:r>
      <w:r w:rsidR="00E17712" w:rsidRPr="00BE3748">
        <w:t>T</w:t>
      </w:r>
      <w:r w:rsidR="006717B6" w:rsidRPr="00BE3748">
        <w:t>ab</w:t>
      </w:r>
      <w:r w:rsidR="00E17712" w:rsidRPr="00BE3748">
        <w:t>l</w:t>
      </w:r>
      <w:r w:rsidR="006717B6" w:rsidRPr="00BE3748">
        <w:t>e</w:t>
      </w:r>
      <w:r w:rsidR="00E17712" w:rsidRPr="00BE3748">
        <w:t xml:space="preserve"> </w:t>
      </w:r>
      <w:r w:rsidR="3FB962EB" w:rsidRPr="00BE3748">
        <w:t>1</w:t>
      </w:r>
      <w:r w:rsidR="00E17712" w:rsidRPr="00BE3748">
        <w:t xml:space="preserve">. </w:t>
      </w:r>
    </w:p>
    <w:p w14:paraId="1E4AD224" w14:textId="7E825454" w:rsidR="00BF7CA9" w:rsidRDefault="00BF7CA9" w:rsidP="00AF43F5">
      <w:pPr>
        <w:pStyle w:val="ListParagraph"/>
        <w:spacing w:before="7"/>
        <w:ind w:left="142"/>
        <w:rPr>
          <w:rFonts w:eastAsia="Times New Roman" w:cs="Times New Roman"/>
          <w:bCs/>
          <w:szCs w:val="24"/>
        </w:rPr>
      </w:pPr>
    </w:p>
    <w:p w14:paraId="68EA0729" w14:textId="77777777" w:rsidR="001610C9" w:rsidRDefault="001610C9" w:rsidP="00AF43F5">
      <w:pPr>
        <w:pStyle w:val="ListParagraph"/>
        <w:spacing w:before="7"/>
        <w:ind w:left="142"/>
        <w:rPr>
          <w:rFonts w:eastAsia="Times New Roman" w:cs="Times New Roman"/>
          <w:bCs/>
          <w:szCs w:val="24"/>
        </w:rPr>
      </w:pPr>
    </w:p>
    <w:p w14:paraId="24A02696" w14:textId="77777777" w:rsidR="001610C9" w:rsidRPr="00B74B0E" w:rsidRDefault="001610C9" w:rsidP="00AF43F5">
      <w:pPr>
        <w:pStyle w:val="ListParagraph"/>
        <w:spacing w:before="7"/>
        <w:ind w:left="142"/>
        <w:rPr>
          <w:rFonts w:eastAsia="Times New Roman" w:cs="Times New Roman"/>
          <w:bCs/>
          <w:szCs w:val="24"/>
        </w:rPr>
      </w:pPr>
    </w:p>
    <w:p w14:paraId="19B066CD" w14:textId="695F8B51" w:rsidR="00473346" w:rsidRPr="00B74B0E" w:rsidRDefault="006717B6" w:rsidP="24EACE49">
      <w:pPr>
        <w:pStyle w:val="ListParagraph"/>
        <w:spacing w:before="7"/>
        <w:ind w:left="142"/>
        <w:jc w:val="center"/>
        <w:rPr>
          <w:rFonts w:eastAsia="Times New Roman" w:cs="Times New Roman"/>
          <w:szCs w:val="24"/>
        </w:rPr>
      </w:pPr>
      <w:r w:rsidRPr="00B74B0E">
        <w:rPr>
          <w:rFonts w:eastAsia="Times New Roman" w:cs="Times New Roman"/>
          <w:szCs w:val="24"/>
        </w:rPr>
        <w:lastRenderedPageBreak/>
        <w:t>Tab</w:t>
      </w:r>
      <w:r w:rsidR="00473346" w:rsidRPr="00B74B0E">
        <w:rPr>
          <w:rFonts w:eastAsia="Times New Roman" w:cs="Times New Roman"/>
          <w:szCs w:val="24"/>
        </w:rPr>
        <w:t>l</w:t>
      </w:r>
      <w:r w:rsidRPr="00B74B0E">
        <w:rPr>
          <w:rFonts w:eastAsia="Times New Roman" w:cs="Times New Roman"/>
          <w:szCs w:val="24"/>
        </w:rPr>
        <w:t>e</w:t>
      </w:r>
      <w:r w:rsidR="00473346" w:rsidRPr="00B74B0E">
        <w:rPr>
          <w:rFonts w:eastAsia="Times New Roman" w:cs="Times New Roman"/>
          <w:szCs w:val="24"/>
        </w:rPr>
        <w:t xml:space="preserve"> </w:t>
      </w:r>
      <w:r w:rsidR="11CB0116" w:rsidRPr="00B74B0E">
        <w:rPr>
          <w:rFonts w:eastAsia="Times New Roman" w:cs="Times New Roman"/>
          <w:szCs w:val="24"/>
        </w:rPr>
        <w:t>1</w:t>
      </w:r>
      <w:r w:rsidR="41AFDA3C" w:rsidRPr="00B74B0E">
        <w:rPr>
          <w:rFonts w:eastAsia="Times New Roman" w:cs="Times New Roman"/>
          <w:szCs w:val="24"/>
        </w:rPr>
        <w:t>.</w:t>
      </w:r>
      <w:r w:rsidR="00473346" w:rsidRPr="00B74B0E">
        <w:rPr>
          <w:rFonts w:eastAsia="Times New Roman" w:cs="Times New Roman"/>
          <w:color w:val="FF0000"/>
          <w:szCs w:val="24"/>
        </w:rPr>
        <w:t xml:space="preserve"> </w:t>
      </w:r>
      <w:r w:rsidR="00473346" w:rsidRPr="00B74B0E">
        <w:rPr>
          <w:rFonts w:eastAsia="Times New Roman" w:cs="Times New Roman"/>
          <w:szCs w:val="24"/>
        </w:rPr>
        <w:t>RMSE value</w:t>
      </w:r>
      <w:r w:rsidR="0020598A" w:rsidRPr="00B74B0E">
        <w:rPr>
          <w:rFonts w:eastAsia="Times New Roman" w:cs="Times New Roman"/>
          <w:szCs w:val="24"/>
        </w:rPr>
        <w:t xml:space="preserve"> of each year</w:t>
      </w:r>
    </w:p>
    <w:tbl>
      <w:tblPr>
        <w:tblStyle w:val="TableGrid"/>
        <w:tblW w:w="0" w:type="auto"/>
        <w:jc w:val="center"/>
        <w:tblLook w:val="04A0" w:firstRow="1" w:lastRow="0" w:firstColumn="1" w:lastColumn="0" w:noHBand="0" w:noVBand="1"/>
      </w:tblPr>
      <w:tblGrid>
        <w:gridCol w:w="696"/>
        <w:gridCol w:w="1503"/>
      </w:tblGrid>
      <w:tr w:rsidR="00E17712" w:rsidRPr="00B74B0E" w14:paraId="08E47C1F" w14:textId="77777777" w:rsidTr="00473346">
        <w:trPr>
          <w:jc w:val="center"/>
        </w:trPr>
        <w:tc>
          <w:tcPr>
            <w:tcW w:w="0" w:type="auto"/>
          </w:tcPr>
          <w:p w14:paraId="226EC712" w14:textId="19129198"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Year</w:t>
            </w:r>
          </w:p>
        </w:tc>
        <w:tc>
          <w:tcPr>
            <w:tcW w:w="0" w:type="auto"/>
          </w:tcPr>
          <w:p w14:paraId="0ED7D3C9" w14:textId="31F6CA1C"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RMSE Value</w:t>
            </w:r>
          </w:p>
        </w:tc>
      </w:tr>
      <w:tr w:rsidR="00E17712" w:rsidRPr="00B74B0E" w14:paraId="0CAACA2E" w14:textId="77777777" w:rsidTr="00473346">
        <w:trPr>
          <w:jc w:val="center"/>
        </w:trPr>
        <w:tc>
          <w:tcPr>
            <w:tcW w:w="0" w:type="auto"/>
          </w:tcPr>
          <w:p w14:paraId="407A6A48" w14:textId="76C7F5EC"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2009</w:t>
            </w:r>
          </w:p>
        </w:tc>
        <w:tc>
          <w:tcPr>
            <w:tcW w:w="0" w:type="auto"/>
          </w:tcPr>
          <w:p w14:paraId="334C2EC3" w14:textId="5964D4DD"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0.254</w:t>
            </w:r>
          </w:p>
        </w:tc>
      </w:tr>
      <w:tr w:rsidR="00E17712" w:rsidRPr="00B74B0E" w14:paraId="501ACCBD" w14:textId="77777777" w:rsidTr="00473346">
        <w:trPr>
          <w:jc w:val="center"/>
        </w:trPr>
        <w:tc>
          <w:tcPr>
            <w:tcW w:w="0" w:type="auto"/>
          </w:tcPr>
          <w:p w14:paraId="20AFD43C" w14:textId="2E02FA74"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2014</w:t>
            </w:r>
          </w:p>
        </w:tc>
        <w:tc>
          <w:tcPr>
            <w:tcW w:w="0" w:type="auto"/>
          </w:tcPr>
          <w:p w14:paraId="146DB739" w14:textId="43EC9E55" w:rsidR="00E17712" w:rsidRPr="00B74B0E" w:rsidRDefault="0010121E" w:rsidP="00473346">
            <w:pPr>
              <w:pStyle w:val="ListParagraph"/>
              <w:spacing w:before="7"/>
              <w:jc w:val="center"/>
              <w:rPr>
                <w:rFonts w:eastAsia="Times New Roman" w:cs="Times New Roman"/>
                <w:bCs/>
                <w:szCs w:val="24"/>
              </w:rPr>
            </w:pPr>
            <w:r w:rsidRPr="00B74B0E">
              <w:rPr>
                <w:rFonts w:eastAsia="Times New Roman" w:cs="Times New Roman"/>
                <w:bCs/>
                <w:szCs w:val="24"/>
              </w:rPr>
              <w:t>0.226</w:t>
            </w:r>
          </w:p>
        </w:tc>
      </w:tr>
      <w:tr w:rsidR="00E17712" w:rsidRPr="00B74B0E" w14:paraId="0B71D94D" w14:textId="77777777" w:rsidTr="00473346">
        <w:trPr>
          <w:jc w:val="center"/>
        </w:trPr>
        <w:tc>
          <w:tcPr>
            <w:tcW w:w="0" w:type="auto"/>
          </w:tcPr>
          <w:p w14:paraId="2AA7ACCD" w14:textId="4E1353CA"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2015</w:t>
            </w:r>
          </w:p>
        </w:tc>
        <w:tc>
          <w:tcPr>
            <w:tcW w:w="0" w:type="auto"/>
          </w:tcPr>
          <w:p w14:paraId="7D9D0265" w14:textId="1D871A40"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0.229</w:t>
            </w:r>
          </w:p>
        </w:tc>
      </w:tr>
      <w:tr w:rsidR="00E17712" w:rsidRPr="00B74B0E" w14:paraId="36936CA9" w14:textId="77777777" w:rsidTr="00473346">
        <w:trPr>
          <w:jc w:val="center"/>
        </w:trPr>
        <w:tc>
          <w:tcPr>
            <w:tcW w:w="0" w:type="auto"/>
          </w:tcPr>
          <w:p w14:paraId="746FD04C" w14:textId="675B9FE2"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2016</w:t>
            </w:r>
          </w:p>
        </w:tc>
        <w:tc>
          <w:tcPr>
            <w:tcW w:w="0" w:type="auto"/>
          </w:tcPr>
          <w:p w14:paraId="0096DC70" w14:textId="3E34D317"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0.224</w:t>
            </w:r>
          </w:p>
        </w:tc>
      </w:tr>
      <w:tr w:rsidR="00E17712" w:rsidRPr="00B74B0E" w14:paraId="4B4531AD" w14:textId="77777777" w:rsidTr="00473346">
        <w:trPr>
          <w:jc w:val="center"/>
        </w:trPr>
        <w:tc>
          <w:tcPr>
            <w:tcW w:w="0" w:type="auto"/>
          </w:tcPr>
          <w:p w14:paraId="79DFC345" w14:textId="6BC93A55"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2017</w:t>
            </w:r>
          </w:p>
        </w:tc>
        <w:tc>
          <w:tcPr>
            <w:tcW w:w="0" w:type="auto"/>
          </w:tcPr>
          <w:p w14:paraId="185335D7" w14:textId="522AD9EF" w:rsidR="00E17712" w:rsidRPr="00B74B0E" w:rsidRDefault="0010121E" w:rsidP="00473346">
            <w:pPr>
              <w:pStyle w:val="ListParagraph"/>
              <w:spacing w:before="7"/>
              <w:jc w:val="center"/>
              <w:rPr>
                <w:rFonts w:eastAsia="Times New Roman" w:cs="Times New Roman"/>
                <w:bCs/>
                <w:szCs w:val="24"/>
              </w:rPr>
            </w:pPr>
            <w:r w:rsidRPr="00B74B0E">
              <w:rPr>
                <w:rFonts w:eastAsia="Times New Roman" w:cs="Times New Roman"/>
                <w:bCs/>
                <w:szCs w:val="24"/>
              </w:rPr>
              <w:t>0.229</w:t>
            </w:r>
          </w:p>
        </w:tc>
      </w:tr>
      <w:tr w:rsidR="00E17712" w:rsidRPr="00B74B0E" w14:paraId="4014D788" w14:textId="77777777" w:rsidTr="00473346">
        <w:trPr>
          <w:jc w:val="center"/>
        </w:trPr>
        <w:tc>
          <w:tcPr>
            <w:tcW w:w="0" w:type="auto"/>
          </w:tcPr>
          <w:p w14:paraId="6EE345B5" w14:textId="7352B766"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2018</w:t>
            </w:r>
          </w:p>
        </w:tc>
        <w:tc>
          <w:tcPr>
            <w:tcW w:w="0" w:type="auto"/>
          </w:tcPr>
          <w:p w14:paraId="1FF61F20" w14:textId="51C1E396" w:rsidR="00E17712" w:rsidRPr="00B74B0E" w:rsidRDefault="00E17712" w:rsidP="00473346">
            <w:pPr>
              <w:pStyle w:val="ListParagraph"/>
              <w:spacing w:before="7"/>
              <w:jc w:val="center"/>
              <w:rPr>
                <w:rFonts w:eastAsia="Times New Roman" w:cs="Times New Roman"/>
                <w:bCs/>
                <w:szCs w:val="24"/>
              </w:rPr>
            </w:pPr>
            <w:r w:rsidRPr="00B74B0E">
              <w:rPr>
                <w:rFonts w:eastAsia="Times New Roman" w:cs="Times New Roman"/>
                <w:bCs/>
                <w:szCs w:val="24"/>
              </w:rPr>
              <w:t>0.234</w:t>
            </w:r>
          </w:p>
        </w:tc>
      </w:tr>
    </w:tbl>
    <w:p w14:paraId="70A2355B" w14:textId="77777777" w:rsidR="00BE3748" w:rsidRDefault="00BE3748" w:rsidP="00BF7CA9">
      <w:pPr>
        <w:pStyle w:val="ListParagraph"/>
        <w:spacing w:before="7"/>
        <w:ind w:left="142"/>
        <w:rPr>
          <w:rFonts w:eastAsia="Times New Roman" w:cs="Times New Roman"/>
          <w:bCs/>
          <w:szCs w:val="24"/>
        </w:rPr>
      </w:pPr>
    </w:p>
    <w:p w14:paraId="4337A6CD" w14:textId="2EF50004" w:rsidR="00BF7CA9" w:rsidRDefault="00BF7CA9" w:rsidP="003D04BD">
      <w:pPr>
        <w:ind w:left="142"/>
      </w:pPr>
      <w:r w:rsidRPr="00B74B0E">
        <w:t>RMSE measures errors based on the difference between two corresponding values, and is defined by</w:t>
      </w:r>
      <w:r w:rsidR="001610C9">
        <w:t xml:space="preserve"> </w:t>
      </w:r>
      <w:r w:rsidRPr="00B74B0E">
        <w:fldChar w:fldCharType="begin" w:fldLock="1"/>
      </w:r>
      <w:r w:rsidR="00250A70" w:rsidRPr="00B74B0E">
        <w:instrText>ADDIN CSL_CITATION {"citationItems":[{"id":"ITEM-1","itemData":{"DOI":"10.12962/j12345678.v2i1.2552","ISSN":"1907-753X","author":[{"dropping-particle":"","family":"Hadi Prayitno","given":"Achmad Faiz","non-dropping-particle":"","parse-names":false,"suffix":""}],"container-title":"Jurnal Aplikasi Teknik Sipil","id":"ITEM-1","issue":"1","issued":{"date-parts":[["2007"]]},"page":"31","title":"Analisa Model Gravity dan Analogi Fluida padaTrip Distribusi Penumpang Angkutan Kota Trayek Terminal Bratang – JMP Surabaya","type":"article-journal","volume":"2"},"uris":["http://www.mendeley.com/documents/?uuid=d2984d87-b9fa-47e8-bde9-a92b4e4d1231"]}],"mendeley":{"formattedCitation":"(Hadi Prayitno, 2007)","plainTextFormattedCitation":"(Hadi Prayitno, 2007)","previouslyFormattedCitation":"(Hadi Prayitno, 2007)"},"properties":{"noteIndex":0},"schema":"https://github.com/citation-style-language/schema/raw/master/csl-citation.json"}</w:instrText>
      </w:r>
      <w:r w:rsidRPr="00B74B0E">
        <w:fldChar w:fldCharType="separate"/>
      </w:r>
      <w:r w:rsidRPr="00B74B0E">
        <w:rPr>
          <w:noProof/>
        </w:rPr>
        <w:t>(Hadi Prayitno, 2007)</w:t>
      </w:r>
      <w:r w:rsidRPr="00B74B0E">
        <w:fldChar w:fldCharType="end"/>
      </w:r>
      <w:r w:rsidRPr="00B74B0E">
        <w:t>:</w:t>
      </w:r>
    </w:p>
    <w:p w14:paraId="440A2CC1" w14:textId="77777777" w:rsidR="001F7066" w:rsidRPr="00B74B0E" w:rsidRDefault="001F7066" w:rsidP="00BF7CA9">
      <w:pPr>
        <w:pStyle w:val="ListParagraph"/>
        <w:spacing w:before="7"/>
        <w:ind w:left="142"/>
        <w:rPr>
          <w:rFonts w:eastAsia="Times New Roman" w:cs="Times New Roman"/>
          <w:bCs/>
          <w:szCs w:val="24"/>
        </w:rPr>
      </w:pPr>
    </w:p>
    <w:p w14:paraId="29E63712" w14:textId="411F5B15" w:rsidR="00BF7CA9" w:rsidRDefault="00BF7CA9" w:rsidP="0033510B">
      <w:pPr>
        <w:tabs>
          <w:tab w:val="left" w:pos="8931"/>
        </w:tabs>
        <w:ind w:left="142"/>
        <w:rPr>
          <w:bCs/>
        </w:rPr>
      </w:pPr>
      <m:oMath>
        <m:r>
          <w:rPr>
            <w:rFonts w:ascii="Cambria Math" w:hAnsi="Cambria Math"/>
          </w:rPr>
          <m:t>RMSE</m:t>
        </m:r>
        <m:r>
          <m:rPr>
            <m:sty m:val="p"/>
          </m:rPr>
          <w:rPr>
            <w:rFonts w:ascii="Cambria Math" w:hAnsi="Cambria Math"/>
          </w:rPr>
          <m:t xml:space="preserve">= </m:t>
        </m:r>
        <m:rad>
          <m:radPr>
            <m:degHide m:val="1"/>
            <m:ctrlPr>
              <w:rPr>
                <w:rFonts w:ascii="Cambria Math" w:hAnsi="Cambria Math"/>
                <w:bCs/>
              </w:rPr>
            </m:ctrlPr>
          </m:radPr>
          <m:deg/>
          <m:e>
            <m:f>
              <m:fPr>
                <m:ctrlPr>
                  <w:rPr>
                    <w:rFonts w:ascii="Cambria Math" w:hAnsi="Cambria Math"/>
                    <w:bCs/>
                  </w:rPr>
                </m:ctrlPr>
              </m:fPr>
              <m:num>
                <m:nary>
                  <m:naryPr>
                    <m:chr m:val="∑"/>
                    <m:limLoc m:val="undOvr"/>
                    <m:subHide m:val="1"/>
                    <m:supHide m:val="1"/>
                    <m:ctrlPr>
                      <w:rPr>
                        <w:rFonts w:ascii="Cambria Math" w:hAnsi="Cambria Math"/>
                        <w:bCs/>
                      </w:rPr>
                    </m:ctrlPr>
                  </m:naryPr>
                  <m:sub/>
                  <m:sup/>
                  <m:e>
                    <m:sSup>
                      <m:sSupPr>
                        <m:ctrlPr>
                          <w:rPr>
                            <w:rFonts w:ascii="Cambria Math" w:hAnsi="Cambria Math"/>
                            <w:bCs/>
                          </w:rPr>
                        </m:ctrlPr>
                      </m:sSupPr>
                      <m:e>
                        <m:d>
                          <m:dPr>
                            <m:ctrlPr>
                              <w:rPr>
                                <w:rFonts w:ascii="Cambria Math" w:hAnsi="Cambria Math"/>
                                <w:bCs/>
                              </w:rPr>
                            </m:ctrlPr>
                          </m:dPr>
                          <m:e>
                            <m:sSub>
                              <m:sSubPr>
                                <m:ctrlPr>
                                  <w:rPr>
                                    <w:rFonts w:ascii="Cambria Math" w:hAnsi="Cambria Math"/>
                                    <w:bCs/>
                                  </w:rPr>
                                </m:ctrlPr>
                              </m:sSubPr>
                              <m:e>
                                <m:r>
                                  <w:rPr>
                                    <w:rFonts w:ascii="Cambria Math" w:hAnsi="Cambria Math"/>
                                  </w:rPr>
                                  <m:t>T</m:t>
                                </m:r>
                              </m:e>
                              <m:sub>
                                <m:r>
                                  <w:rPr>
                                    <w:rFonts w:ascii="Cambria Math" w:hAnsi="Cambria Math"/>
                                  </w:rPr>
                                  <m:t>id</m:t>
                                </m:r>
                                <m:r>
                                  <m:rPr>
                                    <m:sty m:val="p"/>
                                  </m:rPr>
                                  <w:rPr>
                                    <w:rFonts w:ascii="Cambria Math" w:hAnsi="Cambria Math"/>
                                  </w:rPr>
                                  <m:t>-</m:t>
                                </m:r>
                                <m:r>
                                  <w:rPr>
                                    <w:rFonts w:ascii="Cambria Math" w:hAnsi="Cambria Math"/>
                                  </w:rPr>
                                  <m:t>o</m:t>
                                </m:r>
                              </m:sub>
                            </m:sSub>
                            <m:r>
                              <m:rPr>
                                <m:sty m:val="p"/>
                              </m:rPr>
                              <w:rPr>
                                <w:rFonts w:ascii="Cambria Math" w:hAnsi="Cambria Math"/>
                              </w:rPr>
                              <m:t>-</m:t>
                            </m:r>
                            <m:sSub>
                              <m:sSubPr>
                                <m:ctrlPr>
                                  <w:rPr>
                                    <w:rFonts w:ascii="Cambria Math" w:hAnsi="Cambria Math"/>
                                    <w:bCs/>
                                  </w:rPr>
                                </m:ctrlPr>
                              </m:sSubPr>
                              <m:e>
                                <m:r>
                                  <w:rPr>
                                    <w:rFonts w:ascii="Cambria Math" w:hAnsi="Cambria Math"/>
                                  </w:rPr>
                                  <m:t>T</m:t>
                                </m:r>
                              </m:e>
                              <m:sub>
                                <m:r>
                                  <w:rPr>
                                    <w:rFonts w:ascii="Cambria Math" w:hAnsi="Cambria Math"/>
                                  </w:rPr>
                                  <m:t>id</m:t>
                                </m:r>
                                <m:r>
                                  <m:rPr>
                                    <m:sty m:val="p"/>
                                  </m:rPr>
                                  <w:rPr>
                                    <w:rFonts w:ascii="Cambria Math" w:hAnsi="Cambria Math"/>
                                  </w:rPr>
                                  <m:t>-</m:t>
                                </m:r>
                                <m:r>
                                  <w:rPr>
                                    <w:rFonts w:ascii="Cambria Math" w:hAnsi="Cambria Math"/>
                                  </w:rPr>
                                  <m:t>e</m:t>
                                </m:r>
                              </m:sub>
                            </m:sSub>
                          </m:e>
                        </m:d>
                      </m:e>
                      <m:sup>
                        <m:r>
                          <m:rPr>
                            <m:sty m:val="p"/>
                          </m:rPr>
                          <w:rPr>
                            <w:rFonts w:ascii="Cambria Math" w:hAnsi="Cambria Math"/>
                          </w:rPr>
                          <m:t>2</m:t>
                        </m:r>
                      </m:sup>
                    </m:sSup>
                  </m:e>
                </m:nary>
              </m:num>
              <m:den>
                <m:r>
                  <w:rPr>
                    <w:rFonts w:ascii="Cambria Math" w:hAnsi="Cambria Math"/>
                  </w:rPr>
                  <m:t>N</m:t>
                </m:r>
                <m:d>
                  <m:dPr>
                    <m:ctrlPr>
                      <w:rPr>
                        <w:rFonts w:ascii="Cambria Math" w:hAnsi="Cambria Math"/>
                        <w:bCs/>
                      </w:rPr>
                    </m:ctrlPr>
                  </m:dPr>
                  <m:e>
                    <m:r>
                      <w:rPr>
                        <w:rFonts w:ascii="Cambria Math" w:hAnsi="Cambria Math"/>
                      </w:rPr>
                      <m:t>N</m:t>
                    </m:r>
                    <m:r>
                      <m:rPr>
                        <m:sty m:val="p"/>
                      </m:rPr>
                      <w:rPr>
                        <w:rFonts w:ascii="Cambria Math" w:hAnsi="Cambria Math"/>
                      </w:rPr>
                      <m:t>-1</m:t>
                    </m:r>
                  </m:e>
                </m:d>
              </m:den>
            </m:f>
          </m:e>
        </m:rad>
      </m:oMath>
      <w:r w:rsidR="001F7066">
        <w:rPr>
          <w:bCs/>
        </w:rPr>
        <w:tab/>
        <w:t>(1)</w:t>
      </w:r>
    </w:p>
    <w:p w14:paraId="5563D249" w14:textId="77777777" w:rsidR="001F7066" w:rsidRPr="001F7066" w:rsidRDefault="001F7066" w:rsidP="001F7066">
      <w:pPr>
        <w:pStyle w:val="ListParagraph"/>
        <w:tabs>
          <w:tab w:val="left" w:pos="8931"/>
        </w:tabs>
        <w:spacing w:before="7"/>
        <w:ind w:left="142"/>
        <w:rPr>
          <w:rFonts w:eastAsia="Times New Roman" w:cs="Times New Roman"/>
          <w:bCs/>
          <w:szCs w:val="24"/>
        </w:rPr>
      </w:pPr>
    </w:p>
    <w:p w14:paraId="7A67A652" w14:textId="07638022" w:rsidR="00BF7CA9" w:rsidRPr="00B74B0E" w:rsidRDefault="00BF7CA9" w:rsidP="00AF43F5">
      <w:pPr>
        <w:pStyle w:val="ListParagraph"/>
        <w:spacing w:before="7"/>
        <w:ind w:left="142"/>
        <w:rPr>
          <w:rFonts w:eastAsia="Times New Roman" w:cs="Times New Roman"/>
          <w:bCs/>
          <w:szCs w:val="24"/>
        </w:rPr>
      </w:pPr>
      <w:r w:rsidRPr="00B74B0E">
        <w:rPr>
          <w:rFonts w:eastAsia="Times New Roman" w:cs="Times New Roman"/>
          <w:bCs/>
          <w:szCs w:val="24"/>
        </w:rPr>
        <w:t xml:space="preserve">For </w:t>
      </w:r>
      <w:proofErr w:type="spellStart"/>
      <w:r w:rsidRPr="00B74B0E">
        <w:rPr>
          <w:rFonts w:eastAsia="Times New Roman" w:cs="Times New Roman"/>
          <w:bCs/>
          <w:szCs w:val="24"/>
        </w:rPr>
        <w:t>i</w:t>
      </w:r>
      <w:proofErr w:type="spellEnd"/>
      <w:r w:rsidRPr="00B74B0E">
        <w:rPr>
          <w:rFonts w:eastAsia="Times New Roman" w:cs="Times New Roman"/>
          <w:bCs/>
          <w:szCs w:val="24"/>
        </w:rPr>
        <w:t xml:space="preserve"> ≠ d</w:t>
      </w:r>
    </w:p>
    <w:p w14:paraId="0F375978" w14:textId="44895975" w:rsidR="00BF7CA9" w:rsidRPr="00B74B0E" w:rsidRDefault="00BF7CA9" w:rsidP="00AF43F5">
      <w:pPr>
        <w:pStyle w:val="ListParagraph"/>
        <w:spacing w:before="7"/>
        <w:ind w:left="142"/>
        <w:rPr>
          <w:rFonts w:eastAsia="Times New Roman" w:cs="Times New Roman"/>
          <w:bCs/>
          <w:szCs w:val="24"/>
        </w:rPr>
      </w:pPr>
      <w:r w:rsidRPr="00B74B0E">
        <w:rPr>
          <w:rFonts w:eastAsia="Times New Roman" w:cs="Times New Roman"/>
          <w:bCs/>
          <w:szCs w:val="24"/>
        </w:rPr>
        <w:t>Where:</w:t>
      </w:r>
    </w:p>
    <w:p w14:paraId="6439BBB0" w14:textId="6596CB8C" w:rsidR="00BF7CA9" w:rsidRPr="00B74B0E" w:rsidRDefault="00BF7CA9" w:rsidP="00250A70">
      <w:pPr>
        <w:pStyle w:val="ListParagraph"/>
        <w:tabs>
          <w:tab w:val="left" w:pos="567"/>
        </w:tabs>
        <w:spacing w:before="7"/>
        <w:ind w:left="142"/>
        <w:rPr>
          <w:rFonts w:eastAsia="Times New Roman" w:cs="Times New Roman"/>
          <w:bCs/>
          <w:szCs w:val="24"/>
        </w:rPr>
      </w:pPr>
      <w:proofErr w:type="spellStart"/>
      <w:r w:rsidRPr="00B74B0E">
        <w:rPr>
          <w:rFonts w:eastAsia="Times New Roman" w:cs="Times New Roman"/>
          <w:bCs/>
          <w:szCs w:val="24"/>
        </w:rPr>
        <w:t>T</w:t>
      </w:r>
      <w:r w:rsidRPr="00B74B0E">
        <w:rPr>
          <w:rFonts w:eastAsia="Times New Roman" w:cs="Times New Roman"/>
          <w:bCs/>
          <w:szCs w:val="24"/>
          <w:vertAlign w:val="subscript"/>
        </w:rPr>
        <w:t>id</w:t>
      </w:r>
      <w:proofErr w:type="spellEnd"/>
      <w:r w:rsidRPr="00B74B0E">
        <w:rPr>
          <w:rFonts w:eastAsia="Times New Roman" w:cs="Times New Roman"/>
          <w:bCs/>
          <w:szCs w:val="24"/>
          <w:vertAlign w:val="subscript"/>
        </w:rPr>
        <w:t>-</w:t>
      </w:r>
      <w:r w:rsidR="00250A70" w:rsidRPr="00B74B0E">
        <w:rPr>
          <w:rFonts w:eastAsia="Times New Roman" w:cs="Times New Roman"/>
          <w:bCs/>
          <w:szCs w:val="24"/>
          <w:vertAlign w:val="subscript"/>
        </w:rPr>
        <w:t>o</w:t>
      </w:r>
      <w:r w:rsidR="00250A70" w:rsidRPr="00B74B0E">
        <w:rPr>
          <w:rFonts w:eastAsia="Times New Roman" w:cs="Times New Roman"/>
          <w:bCs/>
          <w:szCs w:val="24"/>
          <w:vertAlign w:val="subscript"/>
        </w:rPr>
        <w:tab/>
      </w:r>
      <w:r w:rsidRPr="00B74B0E">
        <w:rPr>
          <w:rFonts w:eastAsia="Times New Roman" w:cs="Times New Roman"/>
          <w:bCs/>
          <w:szCs w:val="24"/>
        </w:rPr>
        <w:t xml:space="preserve">= </w:t>
      </w:r>
      <w:r w:rsidR="00250A70" w:rsidRPr="00B74B0E">
        <w:rPr>
          <w:rFonts w:eastAsia="Times New Roman" w:cs="Times New Roman"/>
          <w:bCs/>
          <w:szCs w:val="24"/>
        </w:rPr>
        <w:t>Observation data</w:t>
      </w:r>
    </w:p>
    <w:p w14:paraId="34DD69C2" w14:textId="5B783C6F" w:rsidR="00BF7CA9" w:rsidRPr="00B74B0E" w:rsidRDefault="00BF7CA9" w:rsidP="00250A70">
      <w:pPr>
        <w:pStyle w:val="ListParagraph"/>
        <w:tabs>
          <w:tab w:val="left" w:pos="567"/>
        </w:tabs>
        <w:spacing w:before="7"/>
        <w:ind w:left="142"/>
        <w:rPr>
          <w:rFonts w:eastAsia="Times New Roman" w:cs="Times New Roman"/>
          <w:bCs/>
          <w:szCs w:val="24"/>
        </w:rPr>
      </w:pPr>
      <w:proofErr w:type="spellStart"/>
      <w:r w:rsidRPr="00B74B0E">
        <w:rPr>
          <w:rFonts w:eastAsia="Times New Roman" w:cs="Times New Roman"/>
          <w:bCs/>
          <w:szCs w:val="24"/>
        </w:rPr>
        <w:t>T</w:t>
      </w:r>
      <w:r w:rsidRPr="00B74B0E">
        <w:rPr>
          <w:rFonts w:eastAsia="Times New Roman" w:cs="Times New Roman"/>
          <w:bCs/>
          <w:szCs w:val="24"/>
          <w:vertAlign w:val="subscript"/>
        </w:rPr>
        <w:t>id</w:t>
      </w:r>
      <w:proofErr w:type="spellEnd"/>
      <w:r w:rsidRPr="00B74B0E">
        <w:rPr>
          <w:rFonts w:eastAsia="Times New Roman" w:cs="Times New Roman"/>
          <w:bCs/>
          <w:szCs w:val="24"/>
          <w:vertAlign w:val="subscript"/>
        </w:rPr>
        <w:t>-e</w:t>
      </w:r>
      <w:r w:rsidR="00250A70" w:rsidRPr="00B74B0E">
        <w:rPr>
          <w:rFonts w:eastAsia="Times New Roman" w:cs="Times New Roman"/>
          <w:bCs/>
          <w:szCs w:val="24"/>
          <w:vertAlign w:val="subscript"/>
        </w:rPr>
        <w:tab/>
      </w:r>
      <w:r w:rsidRPr="00B74B0E">
        <w:rPr>
          <w:rFonts w:eastAsia="Times New Roman" w:cs="Times New Roman"/>
          <w:bCs/>
          <w:szCs w:val="24"/>
        </w:rPr>
        <w:t>=</w:t>
      </w:r>
      <w:r w:rsidR="00250A70" w:rsidRPr="00B74B0E">
        <w:rPr>
          <w:rFonts w:eastAsia="Times New Roman" w:cs="Times New Roman"/>
          <w:bCs/>
          <w:szCs w:val="24"/>
        </w:rPr>
        <w:t xml:space="preserve"> Estimation data</w:t>
      </w:r>
    </w:p>
    <w:p w14:paraId="2A1F60F4" w14:textId="786DD79F" w:rsidR="00BF7CA9" w:rsidRPr="00B74B0E" w:rsidRDefault="00BF7CA9" w:rsidP="00250A70">
      <w:pPr>
        <w:pStyle w:val="ListParagraph"/>
        <w:tabs>
          <w:tab w:val="left" w:pos="567"/>
        </w:tabs>
        <w:spacing w:before="7"/>
        <w:ind w:left="142"/>
        <w:rPr>
          <w:rFonts w:eastAsia="Times New Roman" w:cs="Times New Roman"/>
          <w:bCs/>
          <w:szCs w:val="24"/>
        </w:rPr>
      </w:pPr>
      <w:r w:rsidRPr="00B74B0E">
        <w:rPr>
          <w:rFonts w:eastAsia="Times New Roman" w:cs="Times New Roman"/>
          <w:bCs/>
          <w:szCs w:val="24"/>
        </w:rPr>
        <w:t>N</w:t>
      </w:r>
      <w:r w:rsidR="00250A70" w:rsidRPr="00B74B0E">
        <w:rPr>
          <w:rFonts w:eastAsia="Times New Roman" w:cs="Times New Roman"/>
          <w:bCs/>
          <w:szCs w:val="24"/>
        </w:rPr>
        <w:t xml:space="preserve"> </w:t>
      </w:r>
      <w:r w:rsidR="00250A70" w:rsidRPr="00B74B0E">
        <w:rPr>
          <w:rFonts w:eastAsia="Times New Roman" w:cs="Times New Roman"/>
          <w:bCs/>
          <w:szCs w:val="24"/>
        </w:rPr>
        <w:tab/>
        <w:t>= Total data</w:t>
      </w:r>
    </w:p>
    <w:p w14:paraId="28F5EC91" w14:textId="77777777" w:rsidR="00250A70" w:rsidRPr="00B74B0E" w:rsidRDefault="00250A70" w:rsidP="00250A70">
      <w:pPr>
        <w:pStyle w:val="ListParagraph"/>
        <w:tabs>
          <w:tab w:val="left" w:pos="567"/>
        </w:tabs>
        <w:spacing w:before="7"/>
        <w:ind w:left="142"/>
        <w:rPr>
          <w:rFonts w:eastAsia="Times New Roman" w:cs="Times New Roman"/>
          <w:bCs/>
          <w:szCs w:val="24"/>
        </w:rPr>
      </w:pPr>
    </w:p>
    <w:p w14:paraId="0DF65204" w14:textId="3B0E6C42" w:rsidR="00E17712" w:rsidRPr="00B74B0E" w:rsidRDefault="00250A70" w:rsidP="00AF43F5">
      <w:pPr>
        <w:pStyle w:val="ListParagraph"/>
        <w:spacing w:before="7"/>
        <w:ind w:left="142"/>
        <w:rPr>
          <w:rFonts w:eastAsia="Times New Roman" w:cs="Times New Roman"/>
          <w:bCs/>
          <w:szCs w:val="24"/>
        </w:rPr>
      </w:pPr>
      <w:r w:rsidRPr="00B74B0E">
        <w:rPr>
          <w:rFonts w:eastAsia="Times New Roman" w:cs="Times New Roman"/>
          <w:bCs/>
          <w:szCs w:val="24"/>
        </w:rPr>
        <w:t xml:space="preserve">The smaller an RMSE value, the closer predicted and observed values are, and vice versa </w:t>
      </w:r>
      <w:r w:rsidRPr="00B74B0E">
        <w:rPr>
          <w:rFonts w:eastAsia="Times New Roman" w:cs="Times New Roman"/>
          <w:bCs/>
          <w:szCs w:val="24"/>
        </w:rPr>
        <w:fldChar w:fldCharType="begin" w:fldLock="1"/>
      </w:r>
      <w:r w:rsidR="007A6E3D" w:rsidRPr="00B74B0E">
        <w:rPr>
          <w:rFonts w:eastAsia="Times New Roman" w:cs="Times New Roman"/>
          <w:bCs/>
          <w:szCs w:val="24"/>
        </w:rPr>
        <w:instrText>ADDIN CSL_CITATION {"citationItems":[{"id":"ITEM-1","itemData":{"DOI":"10.12962/j12345678.v2i1.2552","ISSN":"1907-753X","author":[{"dropping-particle":"","family":"Hadi Prayitno","given":"Achmad Faiz","non-dropping-particle":"","parse-names":false,"suffix":""}],"container-title":"Jurnal Aplikasi Teknik Sipil","id":"ITEM-1","issue":"1","issued":{"date-parts":[["2007"]]},"page":"31","title":"Analisa Model Gravity dan Analogi Fluida padaTrip Distribusi Penumpang Angkutan Kota Trayek Terminal Bratang – JMP Surabaya","type":"article-journal","volume":"2"},"uris":["http://www.mendeley.com/documents/?uuid=d2984d87-b9fa-47e8-bde9-a92b4e4d1231"]}],"mendeley":{"formattedCitation":"(Hadi Prayitno, 2007)","plainTextFormattedCitation":"(Hadi Prayitno, 2007)","previouslyFormattedCitation":"(Hadi Prayitno, 2007)"},"properties":{"noteIndex":0},"schema":"https://github.com/citation-style-language/schema/raw/master/csl-citation.json"}</w:instrText>
      </w:r>
      <w:r w:rsidRPr="00B74B0E">
        <w:rPr>
          <w:rFonts w:eastAsia="Times New Roman" w:cs="Times New Roman"/>
          <w:bCs/>
          <w:szCs w:val="24"/>
        </w:rPr>
        <w:fldChar w:fldCharType="separate"/>
      </w:r>
      <w:r w:rsidRPr="00B74B0E">
        <w:rPr>
          <w:rFonts w:eastAsia="Times New Roman" w:cs="Times New Roman"/>
          <w:bCs/>
          <w:noProof/>
          <w:szCs w:val="24"/>
        </w:rPr>
        <w:t>(Hadi Prayitno, 2007)</w:t>
      </w:r>
      <w:r w:rsidRPr="00B74B0E">
        <w:rPr>
          <w:rFonts w:eastAsia="Times New Roman" w:cs="Times New Roman"/>
          <w:bCs/>
          <w:szCs w:val="24"/>
        </w:rPr>
        <w:fldChar w:fldCharType="end"/>
      </w:r>
      <w:r w:rsidRPr="00B74B0E">
        <w:rPr>
          <w:rFonts w:eastAsia="Times New Roman" w:cs="Times New Roman"/>
          <w:bCs/>
          <w:szCs w:val="24"/>
        </w:rPr>
        <w:t xml:space="preserve">. </w:t>
      </w:r>
      <w:r w:rsidR="00FE633C" w:rsidRPr="00B74B0E">
        <w:rPr>
          <w:rFonts w:eastAsia="Times New Roman" w:cs="Times New Roman"/>
          <w:bCs/>
          <w:szCs w:val="24"/>
        </w:rPr>
        <w:t xml:space="preserve">The RMSE values </w:t>
      </w:r>
      <w:r w:rsidR="0020598A" w:rsidRPr="00B74B0E">
        <w:rPr>
          <w:rFonts w:eastAsia="Times New Roman" w:cs="Times New Roman"/>
          <w:bCs/>
          <w:szCs w:val="24"/>
        </w:rPr>
        <w:t xml:space="preserve">indicate </w:t>
      </w:r>
      <w:r w:rsidR="00FE633C" w:rsidRPr="00B74B0E">
        <w:rPr>
          <w:rFonts w:eastAsia="Times New Roman" w:cs="Times New Roman"/>
          <w:bCs/>
          <w:szCs w:val="24"/>
        </w:rPr>
        <w:t xml:space="preserve">that the probability </w:t>
      </w:r>
      <w:r w:rsidR="006D62CE" w:rsidRPr="00B74B0E">
        <w:rPr>
          <w:rFonts w:eastAsia="Times New Roman" w:cs="Times New Roman"/>
          <w:bCs/>
          <w:szCs w:val="24"/>
        </w:rPr>
        <w:t>of occurrence map</w:t>
      </w:r>
      <w:r w:rsidR="00FE633C" w:rsidRPr="00B74B0E">
        <w:rPr>
          <w:rFonts w:eastAsia="Times New Roman" w:cs="Times New Roman"/>
          <w:bCs/>
          <w:szCs w:val="24"/>
        </w:rPr>
        <w:t xml:space="preserve"> produced </w:t>
      </w:r>
      <w:r w:rsidR="001610C9">
        <w:rPr>
          <w:rFonts w:eastAsia="Times New Roman" w:cs="Times New Roman"/>
          <w:bCs/>
          <w:szCs w:val="24"/>
        </w:rPr>
        <w:t>is</w:t>
      </w:r>
      <w:r w:rsidR="001610C9" w:rsidRPr="00B74B0E">
        <w:rPr>
          <w:rFonts w:eastAsia="Times New Roman" w:cs="Times New Roman"/>
          <w:bCs/>
          <w:szCs w:val="24"/>
        </w:rPr>
        <w:t xml:space="preserve"> </w:t>
      </w:r>
      <w:r w:rsidR="0020598A" w:rsidRPr="00B74B0E">
        <w:rPr>
          <w:rFonts w:eastAsia="Times New Roman" w:cs="Times New Roman"/>
          <w:bCs/>
          <w:szCs w:val="24"/>
        </w:rPr>
        <w:t xml:space="preserve">still </w:t>
      </w:r>
      <w:r w:rsidR="006D62CE" w:rsidRPr="00B74B0E">
        <w:rPr>
          <w:rFonts w:eastAsia="Times New Roman" w:cs="Times New Roman"/>
          <w:bCs/>
          <w:szCs w:val="24"/>
        </w:rPr>
        <w:t xml:space="preserve">within </w:t>
      </w:r>
      <w:r w:rsidR="001610C9">
        <w:rPr>
          <w:rFonts w:eastAsia="Times New Roman" w:cs="Times New Roman"/>
          <w:bCs/>
          <w:szCs w:val="24"/>
        </w:rPr>
        <w:t xml:space="preserve">an </w:t>
      </w:r>
      <w:r w:rsidR="00837BA2" w:rsidRPr="00B74B0E">
        <w:rPr>
          <w:rFonts w:eastAsia="Times New Roman" w:cs="Times New Roman"/>
          <w:bCs/>
          <w:szCs w:val="24"/>
        </w:rPr>
        <w:t>acceptable</w:t>
      </w:r>
      <w:r w:rsidR="006D62CE" w:rsidRPr="00B74B0E">
        <w:rPr>
          <w:rFonts w:eastAsia="Times New Roman" w:cs="Times New Roman"/>
          <w:bCs/>
          <w:szCs w:val="24"/>
        </w:rPr>
        <w:t xml:space="preserve"> range, </w:t>
      </w:r>
      <w:r w:rsidR="00837BA2" w:rsidRPr="00B74B0E">
        <w:rPr>
          <w:rFonts w:eastAsia="Times New Roman" w:cs="Times New Roman"/>
          <w:bCs/>
          <w:szCs w:val="24"/>
        </w:rPr>
        <w:t xml:space="preserve">allowing the simulation process to be carried on. </w:t>
      </w:r>
    </w:p>
    <w:p w14:paraId="49B0420C" w14:textId="77777777" w:rsidR="00AF43F5" w:rsidRPr="00B74B0E" w:rsidRDefault="00AF43F5" w:rsidP="00AF43F5">
      <w:pPr>
        <w:pStyle w:val="ListParagraph"/>
        <w:spacing w:before="7"/>
        <w:ind w:left="142"/>
        <w:rPr>
          <w:rFonts w:eastAsia="Times New Roman" w:cs="Times New Roman"/>
          <w:bCs/>
          <w:szCs w:val="24"/>
        </w:rPr>
      </w:pPr>
    </w:p>
    <w:p w14:paraId="433904AB" w14:textId="07810312" w:rsidR="00BE3748" w:rsidRPr="00BE3748" w:rsidRDefault="008B447F" w:rsidP="00BE3748">
      <w:pPr>
        <w:pStyle w:val="ReferenceHead"/>
      </w:pPr>
      <w:r w:rsidRPr="00BE3748">
        <w:t>Self-adaptive inertia and competition mechanism CA</w:t>
      </w:r>
    </w:p>
    <w:p w14:paraId="7A4C756C" w14:textId="3D90D498" w:rsidR="00BA14CE" w:rsidRPr="00BE3748" w:rsidRDefault="00AF43F5" w:rsidP="0033510B">
      <w:pPr>
        <w:ind w:left="142"/>
        <w:rPr>
          <w:spacing w:val="-2"/>
        </w:rPr>
      </w:pPr>
      <w:r w:rsidRPr="00BE3748">
        <w:t xml:space="preserve">Self-adaptive inertia and competition mechanism CA will simulate the LUCC at </w:t>
      </w:r>
      <w:r w:rsidR="00320390">
        <w:t>Jakarta Greater Area</w:t>
      </w:r>
      <w:r w:rsidRPr="00BE3748">
        <w:t xml:space="preserve">. </w:t>
      </w:r>
      <w:r w:rsidR="00320390">
        <w:t xml:space="preserve">The </w:t>
      </w:r>
      <w:r w:rsidRPr="00BE3748">
        <w:t xml:space="preserve">Comparison </w:t>
      </w:r>
      <w:r w:rsidR="00320390">
        <w:t>is conducted in</w:t>
      </w:r>
      <w:r w:rsidRPr="00BE3748">
        <w:t xml:space="preserve"> a 4-year minimum gap, </w:t>
      </w:r>
      <w:r w:rsidR="00320390">
        <w:t xml:space="preserve">to gain </w:t>
      </w:r>
      <w:r w:rsidRPr="00BE3748">
        <w:t xml:space="preserve">significant changes. </w:t>
      </w:r>
      <w:r w:rsidR="00320390">
        <w:t>A m</w:t>
      </w:r>
      <w:r w:rsidR="00320390" w:rsidRPr="00BE3748">
        <w:t xml:space="preserve">aximum </w:t>
      </w:r>
      <w:r w:rsidRPr="00BE3748">
        <w:t xml:space="preserve">number of iterations are set to 300, future pixel number </w:t>
      </w:r>
      <w:r w:rsidR="00320390">
        <w:t>is</w:t>
      </w:r>
      <w:r w:rsidR="00320390" w:rsidRPr="00BE3748">
        <w:t xml:space="preserve"> </w:t>
      </w:r>
      <w:r w:rsidRPr="00BE3748">
        <w:t xml:space="preserve">filled with the 4-year counterpart of each of the respective land use classification. </w:t>
      </w:r>
      <w:r w:rsidR="00BA14CE" w:rsidRPr="00BE3748">
        <w:t xml:space="preserve">The simulation shows the result of how the </w:t>
      </w:r>
      <w:r w:rsidR="00320390" w:rsidRPr="00BE3748">
        <w:t>land</w:t>
      </w:r>
      <w:r w:rsidR="00320390">
        <w:t>-</w:t>
      </w:r>
      <w:r w:rsidR="00BA14CE" w:rsidRPr="00BE3748">
        <w:t xml:space="preserve">use changes into its 4-year counterpart according to the probability data acquired from </w:t>
      </w:r>
      <w:r w:rsidR="00320390" w:rsidRPr="00BE3748">
        <w:t>ANN</w:t>
      </w:r>
      <w:r w:rsidR="00320390">
        <w:t>-</w:t>
      </w:r>
      <w:r w:rsidR="00BA14CE" w:rsidRPr="00BE3748">
        <w:t>based probability of occurrence estimation data.</w:t>
      </w:r>
    </w:p>
    <w:p w14:paraId="3295A12B" w14:textId="5F29EC45" w:rsidR="00BA14CE" w:rsidRPr="00BE3748" w:rsidRDefault="00BA14CE" w:rsidP="0033510B">
      <w:pPr>
        <w:pStyle w:val="ReferenceHead"/>
        <w:numPr>
          <w:ilvl w:val="0"/>
          <w:numId w:val="0"/>
        </w:numPr>
        <w:ind w:left="479"/>
      </w:pPr>
    </w:p>
    <w:p w14:paraId="1BD576E6" w14:textId="1922006B" w:rsidR="00BE3748" w:rsidRPr="00BE3748" w:rsidRDefault="008B447F" w:rsidP="00BE3748">
      <w:pPr>
        <w:pStyle w:val="ReferenceHead"/>
      </w:pPr>
      <w:r w:rsidRPr="00BE3748">
        <w:t>Precision validation</w:t>
      </w:r>
    </w:p>
    <w:p w14:paraId="58307DBE" w14:textId="7838B2C4" w:rsidR="00AF43F5" w:rsidRPr="00BE3748" w:rsidRDefault="00AF43F5" w:rsidP="0033510B">
      <w:pPr>
        <w:ind w:left="142"/>
        <w:rPr>
          <w:spacing w:val="-2"/>
        </w:rPr>
      </w:pPr>
      <w:r w:rsidRPr="00BE3748">
        <w:t xml:space="preserve">Precision validation will be performed to all the simulation results by comparing the start, ground, with the simulation results. Start represents the base year, </w:t>
      </w:r>
      <w:r w:rsidR="00320390">
        <w:t xml:space="preserve">the </w:t>
      </w:r>
      <w:r w:rsidRPr="00BE3748">
        <w:t>g</w:t>
      </w:r>
      <w:r w:rsidR="00BA14CE" w:rsidRPr="00BE3748">
        <w:t>round represents the 4-</w:t>
      </w:r>
      <w:r w:rsidRPr="00BE3748">
        <w:t>year minimum gap, and simulation results are the results acquired from the self-adaptive inertia and competition mechanism CA simulation</w:t>
      </w:r>
      <w:r w:rsidR="00BA14CE" w:rsidRPr="00BE3748">
        <w:t xml:space="preserve">. </w:t>
      </w:r>
      <w:proofErr w:type="spellStart"/>
      <w:r w:rsidR="002255AA" w:rsidRPr="00BE3748">
        <w:t>GeoSOS</w:t>
      </w:r>
      <w:proofErr w:type="spellEnd"/>
      <w:r w:rsidR="002255AA" w:rsidRPr="00BE3748">
        <w:t xml:space="preserve"> </w:t>
      </w:r>
      <w:r w:rsidR="00320390">
        <w:t>FLUS</w:t>
      </w:r>
      <w:r w:rsidR="00320390" w:rsidRPr="00BE3748">
        <w:t xml:space="preserve"> </w:t>
      </w:r>
      <w:r w:rsidR="002255AA" w:rsidRPr="00BE3748">
        <w:t>offers validation results using Figure of Merit (</w:t>
      </w:r>
      <w:proofErr w:type="spellStart"/>
      <w:r w:rsidR="002255AA" w:rsidRPr="00BE3748">
        <w:t>FoM</w:t>
      </w:r>
      <w:proofErr w:type="spellEnd"/>
      <w:r w:rsidR="002255AA" w:rsidRPr="00BE3748">
        <w:t>) to indicate cell-level agreement and pattern-level similarity</w:t>
      </w:r>
      <w:r w:rsidR="004869C5" w:rsidRPr="00BE3748">
        <w:t xml:space="preserve"> </w:t>
      </w:r>
      <w:r w:rsidR="004869C5" w:rsidRPr="00BE3748">
        <w:fldChar w:fldCharType="begin" w:fldLock="1"/>
      </w:r>
      <w:r w:rsidR="00FE2B0D" w:rsidRPr="00BE3748">
        <w:instrText>ADDIN CSL_CITATION {"citationItems":[{"id":"ITEM-1","itemData":{"DOI":"10.1080/13658816.2018.1502441","ISSN":"13623087","abstract":"Urban land-use change is affected by urban planning and government decision-making. Previous urban simulation methods focused only on planning constraints that prevent urban growth from developing in specific regions. However, regional planning produces planning policies that drive urban development, such as traffic planning and development zones, which have rarely been considered in previous studies. This study aims to design two mechanisms based on a cellular automata-based future land-use simulation model to integrate different planning drivers into simulations. The first update mechanism considers the influence of traffic planning, while the second mechanism can model the guiding effect of planning development zones. The proposed mechanisms are applied to the Pearl River Delta region, which is one of the fastest growing areas in China. The first mechanism is validated using simulations from 2000–2013 and demonstrates that simulation accuracy is improved by the consideration of traffic planning. In the simulation from 2013–2052, the two mechanisms are implemented and yield more realistic urban spatial patterns. The simulation outcomes can be employed to identify potential urban expansion inside the master plan. The proposed methods can serve as a useful tool that assists planners in their evaluation of urban evolvement under the impact of different planning policies.","author":[{"dropping-particle":"","family":"Liang","given":"Xun","non-dropping-particle":"","parse-names":false,"suffix":""},{"dropping-particle":"","family":"Liu","given":"Xiaoping","non-dropping-particle":"","parse-names":false,"suffix":""},{"dropping-particle":"","family":"Li","given":"Dan","non-dropping-particle":"","parse-names":false,"suffix":""},{"dropping-particle":"","family":"Zhao","given":"Hui","non-dropping-particle":"","parse-names":false,"suffix":""},{"dropping-particle":"","family":"Chen","given":"Guangzhao","non-dropping-particle":"","parse-names":false,"suffix":""}],"container-title":"International Journal of Geographical Information Science","id":"ITEM-1","issue":"11","issued":{"date-parts":[["2018"]]},"page":"2294-2316","publisher":"Taylor &amp; Francis","title":"Urban growth simulation by incorporating planning policies into a CA-based future land-use simulation model","type":"article-journal","volume":"32"},"uris":["http://www.mendeley.com/documents/?uuid=0bc1d4c4-ef83-4112-8ec8-45081ab61182"]}],"mendeley":{"formattedCitation":"(Liang, Liu, Li, Zhao, et al., 2018)","plainTextFormattedCitation":"(Liang, Liu, Li, Zhao, et al., 2018)","previouslyFormattedCitation":"(Liang, Liu, Li, Zhao, et al., 2018)"},"properties":{"noteIndex":0},"schema":"https://github.com/citation-style-language/schema/raw/master/csl-citation.json"}</w:instrText>
      </w:r>
      <w:r w:rsidR="004869C5" w:rsidRPr="00BE3748">
        <w:fldChar w:fldCharType="separate"/>
      </w:r>
      <w:r w:rsidR="004869C5" w:rsidRPr="00BE3748">
        <w:rPr>
          <w:noProof/>
        </w:rPr>
        <w:t>(Liang, Liu, Li, Zhao, et al., 2018)</w:t>
      </w:r>
      <w:r w:rsidR="004869C5" w:rsidRPr="00BE3748">
        <w:fldChar w:fldCharType="end"/>
      </w:r>
      <w:r w:rsidR="002255AA" w:rsidRPr="00BE3748">
        <w:t xml:space="preserve">. </w:t>
      </w:r>
      <w:proofErr w:type="spellStart"/>
      <w:r w:rsidR="002255AA" w:rsidRPr="00BE3748">
        <w:t>FoM</w:t>
      </w:r>
      <w:proofErr w:type="spellEnd"/>
      <w:r w:rsidR="002255AA" w:rsidRPr="00BE3748">
        <w:t xml:space="preserve"> is formulated as follows:</w:t>
      </w:r>
    </w:p>
    <w:p w14:paraId="5939C6FB" w14:textId="3F7EBFAB" w:rsidR="00B4443C" w:rsidRPr="00BE3748" w:rsidRDefault="00B4443C" w:rsidP="0033510B">
      <w:pPr>
        <w:pStyle w:val="ReferenceHead"/>
        <w:numPr>
          <w:ilvl w:val="0"/>
          <w:numId w:val="0"/>
        </w:numPr>
        <w:ind w:left="479"/>
      </w:pPr>
    </w:p>
    <w:p w14:paraId="7C8BC701" w14:textId="677335A7" w:rsidR="002255AA" w:rsidRPr="00BE3748" w:rsidRDefault="00BE3748" w:rsidP="0033510B">
      <w:pPr>
        <w:tabs>
          <w:tab w:val="left" w:pos="8931"/>
        </w:tabs>
        <w:ind w:left="142"/>
        <w:rPr>
          <w:rFonts w:eastAsiaTheme="minorEastAsia"/>
        </w:rPr>
      </w:pPr>
      <m:oMath>
        <m:r>
          <w:rPr>
            <w:rFonts w:ascii="Cambria Math" w:hAnsi="Cambria Math"/>
          </w:rPr>
          <m:t>F</m:t>
        </m:r>
        <m:r>
          <m:rPr>
            <m:sty m:val="p"/>
          </m:rPr>
          <w:rPr>
            <w:rFonts w:ascii="Cambria Math" w:hAnsi="Cambria Math"/>
          </w:rPr>
          <m:t>=</m:t>
        </m:r>
        <m:f>
          <m:fPr>
            <m:ctrlPr>
              <w:rPr>
                <w:rFonts w:ascii="Cambria Math" w:hAnsi="Cambria Math"/>
              </w:rPr>
            </m:ctrlPr>
          </m:fPr>
          <m:num>
            <m:r>
              <w:rPr>
                <w:rFonts w:ascii="Cambria Math" w:hAnsi="Cambria Math"/>
              </w:rPr>
              <m:t>B</m:t>
            </m:r>
          </m:num>
          <m:den>
            <m:d>
              <m:dPr>
                <m:ctrlPr>
                  <w:rPr>
                    <w:rFonts w:ascii="Cambria Math" w:hAnsi="Cambria Math"/>
                  </w:rPr>
                </m:ctrlPr>
              </m:dPr>
              <m:e>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D</m:t>
                </m:r>
              </m:e>
            </m:d>
          </m:den>
        </m:f>
      </m:oMath>
      <w:r w:rsidR="001F7066" w:rsidRPr="00BE3748">
        <w:rPr>
          <w:rFonts w:eastAsiaTheme="minorEastAsia"/>
        </w:rPr>
        <w:t xml:space="preserve"> </w:t>
      </w:r>
      <w:r w:rsidR="001F7066" w:rsidRPr="00BE3748">
        <w:rPr>
          <w:rFonts w:eastAsiaTheme="minorEastAsia"/>
        </w:rPr>
        <w:tab/>
      </w:r>
      <w:r w:rsidR="001F7066" w:rsidRPr="0033510B">
        <w:t>(2)</w:t>
      </w:r>
    </w:p>
    <w:p w14:paraId="13411D35" w14:textId="77777777" w:rsidR="001F7066" w:rsidRPr="00BE3748" w:rsidRDefault="001F7066" w:rsidP="0033510B">
      <w:pPr>
        <w:pStyle w:val="ReferenceHead"/>
        <w:numPr>
          <w:ilvl w:val="0"/>
          <w:numId w:val="0"/>
        </w:numPr>
        <w:ind w:left="479"/>
      </w:pPr>
    </w:p>
    <w:p w14:paraId="33EE1CC4" w14:textId="0B2961E0" w:rsidR="00DE7333" w:rsidRPr="00BE3748" w:rsidRDefault="002255AA" w:rsidP="0033510B">
      <w:pPr>
        <w:ind w:left="142"/>
        <w:rPr>
          <w:bCs/>
        </w:rPr>
      </w:pPr>
      <w:r w:rsidRPr="00BE3748">
        <w:t xml:space="preserve">where A is the area </w:t>
      </w:r>
      <w:r w:rsidR="00D30D61" w:rsidRPr="00BE3748">
        <w:t>representing the</w:t>
      </w:r>
      <w:r w:rsidRPr="00BE3748">
        <w:t xml:space="preserve"> error due to observed change </w:t>
      </w:r>
      <w:r w:rsidR="00D30D61" w:rsidRPr="00BE3748">
        <w:t xml:space="preserve">that is </w:t>
      </w:r>
      <w:r w:rsidRPr="00BE3748">
        <w:t xml:space="preserve">predicted as persistence, B </w:t>
      </w:r>
      <w:r w:rsidR="00D30D61" w:rsidRPr="00BE3748">
        <w:t>represents</w:t>
      </w:r>
      <w:r w:rsidRPr="00BE3748">
        <w:t xml:space="preserve"> the area corrected due to observed change</w:t>
      </w:r>
      <w:r w:rsidR="00D30D61" w:rsidRPr="00BE3748">
        <w:t xml:space="preserve"> that is</w:t>
      </w:r>
      <w:r w:rsidRPr="00BE3748">
        <w:t xml:space="preserve"> predicted as change, C </w:t>
      </w:r>
      <w:r w:rsidR="00D30D61" w:rsidRPr="00BE3748">
        <w:t>represents</w:t>
      </w:r>
      <w:r w:rsidRPr="00BE3748">
        <w:t xml:space="preserve"> the area of error due to the observed change</w:t>
      </w:r>
      <w:r w:rsidR="00D30D61" w:rsidRPr="00BE3748">
        <w:t xml:space="preserve"> that is</w:t>
      </w:r>
      <w:r w:rsidRPr="00BE3748">
        <w:t xml:space="preserve"> predicted as </w:t>
      </w:r>
      <w:r w:rsidR="00320390">
        <w:t xml:space="preserve">a </w:t>
      </w:r>
      <w:r w:rsidRPr="00BE3748">
        <w:t xml:space="preserve">change in the wrong category and D </w:t>
      </w:r>
      <w:r w:rsidR="00D30D61" w:rsidRPr="00BE3748">
        <w:t>represents</w:t>
      </w:r>
      <w:r w:rsidRPr="00BE3748">
        <w:t xml:space="preserve"> the area of error due to observed persistence</w:t>
      </w:r>
      <w:r w:rsidR="00D30D61" w:rsidRPr="00BE3748">
        <w:t xml:space="preserve"> that is</w:t>
      </w:r>
      <w:r w:rsidRPr="00BE3748">
        <w:t xml:space="preserve"> predicted as change </w:t>
      </w:r>
      <w:r w:rsidRPr="00BE3748">
        <w:fldChar w:fldCharType="begin" w:fldLock="1"/>
      </w:r>
      <w:r w:rsidRPr="00BE3748">
        <w:instrText>ADDIN CSL_CITATION {"citationItems":[{"id":"ITEM-1","itemData":{"DOI":"10.1080/13658816.2018.1502441","ISSN":"13623087","abstract":"Urban land-use change is affected by urban planning and government decision-making. Previous urban simulation methods focused only on planning constraints that prevent urban growth from developing in specific regions. However, regional planning produces planning policies that drive urban development, such as traffic planning and development zones, which have rarely been considered in previous studies. This study aims to design two mechanisms based on a cellular automata-based future land-use simulation model to integrate different planning drivers into simulations. The first update mechanism considers the influence of traffic planning, while the second mechanism can model the guiding effect of planning development zones. The proposed mechanisms are applied to the Pearl River Delta region, which is one of the fastest growing areas in China. The first mechanism is validated using simulations from 2000–2013 and demonstrates that simulation accuracy is improved by the consideration of traffic planning. In the simulation from 2013–2052, the two mechanisms are implemented and yield more realistic urban spatial patterns. The simulation outcomes can be employed to identify potential urban expansion inside the master plan. The proposed methods can serve as a useful tool that assists planners in their evaluation of urban evolvement under the impact of different planning policies.","author":[{"dropping-particle":"","family":"Liang","given":"Xun","non-dropping-particle":"","parse-names":false,"suffix":""},{"dropping-particle":"","family":"Liu","given":"Xiaoping","non-dropping-particle":"","parse-names":false,"suffix":""},{"dropping-particle":"","family":"Li","given":"Dan","non-dropping-particle":"","parse-names":false,"suffix":""},{"dropping-particle":"","family":"Zhao","given":"Hui","non-dropping-particle":"","parse-names":false,"suffix":""},{"dropping-particle":"","family":"Chen","given":"Guangzhao","non-dropping-particle":"","parse-names":false,"suffix":""}],"container-title":"International Journal of Geographical Information Science","id":"ITEM-1","issue":"11","issued":{"date-parts":[["2018"]]},"page":"2294-2316","publisher":"Taylor &amp; Francis","title":"Urban growth simulation by incorporating planning policies into a CA-based future land-use simulation model","type":"article-journal","volume":"32"},"uris":["http://www.mendeley.com/documents/?uuid=0bc1d4c4-ef83-4112-8ec8-45081ab61182"]}],"mendeley":{"formattedCitation":"(Liang, Liu, Li, Zhao, et al., 2018)","plainTextFormattedCitation":"(Liang, Liu, Li, Zhao, et al., 2018)","previouslyFormattedCitation":"(Liang, Liu, Li, Zhao, et al., 2018)"},"properties":{"noteIndex":0},"schema":"https://github.com/citation-style-language/schema/raw/master/csl-citation.json"}</w:instrText>
      </w:r>
      <w:r w:rsidRPr="00BE3748">
        <w:fldChar w:fldCharType="separate"/>
      </w:r>
      <w:r w:rsidRPr="00BE3748">
        <w:rPr>
          <w:noProof/>
        </w:rPr>
        <w:t>(Liang, Liu, Li, Zhao, et al., 2018)</w:t>
      </w:r>
      <w:r w:rsidRPr="00BE3748">
        <w:fldChar w:fldCharType="end"/>
      </w:r>
      <w:r w:rsidRPr="00BE3748">
        <w:t>.</w:t>
      </w:r>
      <w:r w:rsidR="00D30D61" w:rsidRPr="00BE3748">
        <w:t xml:space="preserve"> </w:t>
      </w:r>
      <w:r w:rsidRPr="00BE3748">
        <w:t xml:space="preserve">Table </w:t>
      </w:r>
      <w:r w:rsidR="5899F453" w:rsidRPr="00BE3748">
        <w:t>2.</w:t>
      </w:r>
      <w:r w:rsidR="004869C5" w:rsidRPr="00BE3748">
        <w:t xml:space="preserve"> shows the </w:t>
      </w:r>
      <w:r w:rsidR="00C85F3F" w:rsidRPr="00BE3748">
        <w:t>validation results</w:t>
      </w:r>
      <w:r w:rsidR="004869C5" w:rsidRPr="00BE3748">
        <w:t xml:space="preserve"> of each period.</w:t>
      </w:r>
      <w:r w:rsidR="00D30D61" w:rsidRPr="00BE3748">
        <w:t xml:space="preserve"> </w:t>
      </w:r>
      <w:r w:rsidR="00FE2B0D" w:rsidRPr="00BE3748">
        <w:t xml:space="preserve">Low </w:t>
      </w:r>
      <w:proofErr w:type="spellStart"/>
      <w:r w:rsidR="00FE2B0D" w:rsidRPr="00BE3748">
        <w:t>FoM</w:t>
      </w:r>
      <w:proofErr w:type="spellEnd"/>
      <w:r w:rsidR="00FE2B0D" w:rsidRPr="00BE3748">
        <w:t xml:space="preserve"> values below 2.5% suggest a good fit. </w:t>
      </w:r>
      <w:proofErr w:type="spellStart"/>
      <w:r w:rsidR="00FE2B0D" w:rsidRPr="00BE3748">
        <w:t>FoM</w:t>
      </w:r>
      <w:proofErr w:type="spellEnd"/>
      <w:r w:rsidR="00FE2B0D" w:rsidRPr="00BE3748">
        <w:t xml:space="preserve"> values within the range of 2.5% to 3.5% are still acceptable, </w:t>
      </w:r>
      <w:r w:rsidR="00FE2B0D" w:rsidRPr="00BE3748">
        <w:lastRenderedPageBreak/>
        <w:t xml:space="preserve">as they only have minor flaws such as unfit tails. Larger </w:t>
      </w:r>
      <w:proofErr w:type="spellStart"/>
      <w:r w:rsidR="00FE2B0D" w:rsidRPr="00BE3748">
        <w:t>FoM</w:t>
      </w:r>
      <w:proofErr w:type="spellEnd"/>
      <w:r w:rsidR="00FE2B0D" w:rsidRPr="00BE3748">
        <w:t xml:space="preserve"> values above 10% signify poor statistics and should be avoided </w:t>
      </w:r>
      <w:r w:rsidRPr="00BE3748">
        <w:fldChar w:fldCharType="begin" w:fldLock="1"/>
      </w:r>
      <w:r w:rsidRPr="00BE3748">
        <w:instrText>ADDIN CSL_CITATION {"citationItems":[{"id":"ITEM-1","itemData":{"DOI":"10.1016/0029-554X(77)90437-2","ISSN":"0029554X","abstract":"A careful experimenter knows that in order to choose the best curve fits of peaks from a gamma ray spectrum for such purposes as energy or intensity calibration, half-life determination, etc., the application of the normalized chi-squared test, χN2 = χ2/(n-m), is insufficient. One must normally verify the goodness-of-fit with plots, detailed scans of residuals, etc. Because of different techniques of application, variations in backgrounds, in peak sizes and shapes, etc., quotation of the χN2 value associated with an individual peak fit conveys very little information unless accompanied by considerable ancillary data. (This is not to say that the traditional χ2 formula should not be used as the source of the normal equations in the least squares fitting procedure. But after the fitting, it is unreliable as a criterion for comparison with other fits.) The authors present a formula designated figure-of-merit (FOM) which greatly improves on the uncertainty and fluctuations of the χN2 formula. An FOM value of less than 2.5% indicates a good fit (in the authors' judgment) irrespective of background conditions and variations in peak sizes and shapes. Furthermore, the authors feel the FOM formula is less subject to fluctuations resulting from different techniques of application. © 1977.","author":[{"dropping-particle":"","family":"Balian","given":"H. Garo","non-dropping-particle":"","parse-names":false,"suffix":""},{"dropping-particle":"","family":"Eddy","given":"Nelson W.","non-dropping-particle":"","parse-names":false,"suffix":""}],"container-title":"Nuclear Instruments and Methods","id":"ITEM-1","issue":"2","issued":{"date-parts":[["1977"]]},"page":"389-395","title":"Figure-of-merit (FOM), an improved criterion over the normalized chi-squared test for assessing goodness-of-fit of gamma-ray spectral peaks","type":"article-journal","volume":"145"},"uris":["http://www.mendeley.com/documents/?uuid=caa7a9ee-7cee-44a4-9f8b-abbe5e71797e"]}],"mendeley":{"formattedCitation":"(Balian &amp; Eddy, 1977)","plainTextFormattedCitation":"(Balian &amp; Eddy, 1977)","previouslyFormattedCitation":"(Balian &amp; Eddy, 1977)"},"properties":{"noteIndex":0},"schema":"https://github.com/citation-style-language/schema/raw/master/csl-citation.json"}</w:instrText>
      </w:r>
      <w:r w:rsidRPr="00BE3748">
        <w:fldChar w:fldCharType="separate"/>
      </w:r>
      <w:r w:rsidR="00FE2B0D" w:rsidRPr="00BE3748">
        <w:rPr>
          <w:noProof/>
        </w:rPr>
        <w:t>(Balian &amp; Eddy, 1977)</w:t>
      </w:r>
      <w:r w:rsidRPr="00BE3748">
        <w:fldChar w:fldCharType="end"/>
      </w:r>
      <w:r w:rsidR="00FE2B0D" w:rsidRPr="00BE3748">
        <w:t xml:space="preserve">. </w:t>
      </w:r>
      <w:r w:rsidR="00C85F3F" w:rsidRPr="00BE3748">
        <w:t xml:space="preserve"> </w:t>
      </w:r>
      <w:r w:rsidR="00DE7333" w:rsidRPr="00BE3748">
        <w:t xml:space="preserve">Kappa coefficient can be negative, but its value is 0.0 when agreement happens only at the chance expected level, and its value can be 1.0 when </w:t>
      </w:r>
      <w:r w:rsidR="00320390">
        <w:t xml:space="preserve">the </w:t>
      </w:r>
      <w:r w:rsidR="00DE7333" w:rsidRPr="00BE3748">
        <w:t xml:space="preserve">agreement is perfect. A high value for kappa does not necessarily imply that measurement was as intended </w:t>
      </w:r>
      <w:r w:rsidRPr="00BE3748">
        <w:fldChar w:fldCharType="begin" w:fldLock="1"/>
      </w:r>
      <w:r w:rsidRPr="00BE3748">
        <w:instrText>ADDIN CSL_CITATION {"citationItems":[{"id":"ITEM-1","itemData":{"DOI":"10.1016/0895-4356(88)90031-5","ISSN":"08954356","PMID":"3057117","abstract":"Kappa is frequently used in epidemiology as an index of the quality of measurement for binary characteristics. The authors discuss the strong dependence of kappa on true prevalence, and they examine the relationship of the value of kappa to the degree of attenuation of the odds ratio that results from non-differential misclassification. It is concluded that under certain circumstances kappa can be interpreted as an indicator of validity, i.e. unbiasedness of the odds ratio, rather than simply as one of reliability. Cautions are stressed regarding (1) possible variation in the quality of measurement and (2) possible lack of independence of errors for the paired measurements from which kappa is calculated. An important implication for the design of reliability studies is that they should be conducted in populations where the distribution of the factor of interest is similar to that for the settings in which the measurement technique will ultimately be applied. © 1988.","author":[{"dropping-particle":"","family":"Thompson","given":"W. Douglas","non-dropping-particle":"","parse-names":false,"suffix":""},{"dropping-particle":"","family":"Walter","given":"Stephen D.","non-dropping-particle":"","parse-names":false,"suffix":""}],"container-title":"Journal of Clinical Epidemiology","id":"ITEM-1","issue":"10","issued":{"date-parts":[["1988"]]},"page":"949-958","title":"A rEAPPRAISAL OF THE KAPPA COEFFICIENT","type":"article-journal","volume":"41"},"uris":["http://www.mendeley.com/documents/?uuid=00215c23-d57d-41b2-bee5-31ecfa254e16"]}],"mendeley":{"formattedCitation":"(Thompson &amp; Walter, 1988)","plainTextFormattedCitation":"(Thompson &amp; Walter, 1988)","previouslyFormattedCitation":"(Thompson &amp; Walter, 1988)"},"properties":{"noteIndex":0},"schema":"https://github.com/citation-style-language/schema/raw/master/csl-citation.json"}</w:instrText>
      </w:r>
      <w:r w:rsidRPr="00BE3748">
        <w:fldChar w:fldCharType="separate"/>
      </w:r>
      <w:r w:rsidR="00DE7333" w:rsidRPr="00BE3748">
        <w:rPr>
          <w:noProof/>
        </w:rPr>
        <w:t>(Thompson &amp; Walter, 1988)</w:t>
      </w:r>
      <w:r w:rsidRPr="00BE3748">
        <w:fldChar w:fldCharType="end"/>
      </w:r>
      <w:r w:rsidR="00DE7333" w:rsidRPr="00BE3748">
        <w:t>.</w:t>
      </w:r>
    </w:p>
    <w:p w14:paraId="39D56BEF" w14:textId="4B9A7728" w:rsidR="004869C5" w:rsidRPr="00BE3748" w:rsidRDefault="004869C5" w:rsidP="0033510B">
      <w:pPr>
        <w:pStyle w:val="ReferenceHead"/>
        <w:numPr>
          <w:ilvl w:val="0"/>
          <w:numId w:val="0"/>
        </w:numPr>
        <w:ind w:left="479"/>
      </w:pPr>
    </w:p>
    <w:p w14:paraId="7FDA105F" w14:textId="4DCED394" w:rsidR="004869C5" w:rsidRPr="00BE3748" w:rsidRDefault="00C85F3F" w:rsidP="00BE3748">
      <w:pPr>
        <w:jc w:val="center"/>
      </w:pPr>
      <w:r w:rsidRPr="00BE3748">
        <w:t>Tabl</w:t>
      </w:r>
      <w:r w:rsidR="6CEA282D" w:rsidRPr="00BE3748">
        <w:t>e</w:t>
      </w:r>
      <w:r w:rsidRPr="00BE3748">
        <w:t xml:space="preserve"> </w:t>
      </w:r>
      <w:r w:rsidR="51B23C15" w:rsidRPr="00BE3748">
        <w:t>2.</w:t>
      </w:r>
      <w:r w:rsidRPr="00BE3748">
        <w:t xml:space="preserve"> Validation</w:t>
      </w:r>
      <w:r w:rsidR="004869C5" w:rsidRPr="00BE3748">
        <w:t xml:space="preserve"> </w:t>
      </w:r>
      <w:r w:rsidRPr="00BE3748">
        <w:t>results</w:t>
      </w:r>
    </w:p>
    <w:tbl>
      <w:tblPr>
        <w:tblStyle w:val="TableGrid"/>
        <w:tblW w:w="0" w:type="auto"/>
        <w:jc w:val="center"/>
        <w:tblLook w:val="04A0" w:firstRow="1" w:lastRow="0" w:firstColumn="1" w:lastColumn="0" w:noHBand="0" w:noVBand="1"/>
      </w:tblPr>
      <w:tblGrid>
        <w:gridCol w:w="1416"/>
        <w:gridCol w:w="1696"/>
        <w:gridCol w:w="1982"/>
      </w:tblGrid>
      <w:tr w:rsidR="003D04BD" w:rsidRPr="00BE3748" w14:paraId="5FAA924F" w14:textId="5C021996" w:rsidTr="003D04BD">
        <w:trPr>
          <w:jc w:val="center"/>
        </w:trPr>
        <w:tc>
          <w:tcPr>
            <w:tcW w:w="0" w:type="auto"/>
            <w:vAlign w:val="center"/>
          </w:tcPr>
          <w:p w14:paraId="446248F8" w14:textId="5C41DD20" w:rsidR="003D04BD" w:rsidRPr="00BE3748" w:rsidRDefault="003D04BD" w:rsidP="0033510B">
            <w:pPr>
              <w:jc w:val="center"/>
            </w:pPr>
            <w:r w:rsidRPr="00BE3748">
              <w:t>Year</w:t>
            </w:r>
          </w:p>
        </w:tc>
        <w:tc>
          <w:tcPr>
            <w:tcW w:w="0" w:type="auto"/>
            <w:vAlign w:val="center"/>
          </w:tcPr>
          <w:p w14:paraId="09962232" w14:textId="5DC3446F" w:rsidR="003D04BD" w:rsidRPr="00BE3748" w:rsidRDefault="003D04BD" w:rsidP="0033510B">
            <w:pPr>
              <w:jc w:val="center"/>
            </w:pPr>
            <w:r w:rsidRPr="00BE3748">
              <w:t>Figure of Merit</w:t>
            </w:r>
          </w:p>
        </w:tc>
        <w:tc>
          <w:tcPr>
            <w:tcW w:w="0" w:type="auto"/>
            <w:vAlign w:val="center"/>
          </w:tcPr>
          <w:p w14:paraId="579C84D4" w14:textId="48AD7E03" w:rsidR="003D04BD" w:rsidRPr="00BE3748" w:rsidRDefault="003D04BD" w:rsidP="003D04BD">
            <w:pPr>
              <w:jc w:val="center"/>
            </w:pPr>
            <w:r w:rsidRPr="00BE3748">
              <w:t xml:space="preserve">Kappa Coefficient </w:t>
            </w:r>
          </w:p>
        </w:tc>
      </w:tr>
      <w:tr w:rsidR="003D04BD" w:rsidRPr="00BE3748" w14:paraId="5F4DF7D9" w14:textId="2AA0A417" w:rsidTr="003D04BD">
        <w:trPr>
          <w:jc w:val="center"/>
        </w:trPr>
        <w:tc>
          <w:tcPr>
            <w:tcW w:w="0" w:type="auto"/>
            <w:vAlign w:val="center"/>
          </w:tcPr>
          <w:p w14:paraId="2DBBB8BE" w14:textId="06496D65" w:rsidR="003D04BD" w:rsidRPr="00BE3748" w:rsidRDefault="003D04BD" w:rsidP="0033510B">
            <w:pPr>
              <w:jc w:val="center"/>
            </w:pPr>
            <w:r w:rsidRPr="00BE3748">
              <w:t>2009 – 2014</w:t>
            </w:r>
          </w:p>
        </w:tc>
        <w:tc>
          <w:tcPr>
            <w:tcW w:w="0" w:type="auto"/>
            <w:vAlign w:val="center"/>
          </w:tcPr>
          <w:p w14:paraId="15AB14E9" w14:textId="04A40673" w:rsidR="003D04BD" w:rsidRPr="00BE3748" w:rsidRDefault="003D04BD" w:rsidP="0033510B">
            <w:pPr>
              <w:jc w:val="center"/>
            </w:pPr>
            <w:r w:rsidRPr="00BE3748">
              <w:t>0.028</w:t>
            </w:r>
          </w:p>
        </w:tc>
        <w:tc>
          <w:tcPr>
            <w:tcW w:w="0" w:type="auto"/>
            <w:vAlign w:val="center"/>
          </w:tcPr>
          <w:p w14:paraId="6FC3CF7C" w14:textId="200A1BEB" w:rsidR="003D04BD" w:rsidRPr="00BE3748" w:rsidRDefault="003D04BD" w:rsidP="0033510B">
            <w:pPr>
              <w:jc w:val="center"/>
            </w:pPr>
            <w:r w:rsidRPr="00BE3748">
              <w:t>0.778</w:t>
            </w:r>
          </w:p>
        </w:tc>
      </w:tr>
      <w:tr w:rsidR="003D04BD" w:rsidRPr="00BE3748" w14:paraId="1B5AB903" w14:textId="45FBACAD" w:rsidTr="003D04BD">
        <w:trPr>
          <w:jc w:val="center"/>
        </w:trPr>
        <w:tc>
          <w:tcPr>
            <w:tcW w:w="0" w:type="auto"/>
            <w:vAlign w:val="center"/>
          </w:tcPr>
          <w:p w14:paraId="4D2A2B6E" w14:textId="1C557864" w:rsidR="003D04BD" w:rsidRPr="00BE3748" w:rsidRDefault="003D04BD" w:rsidP="0033510B">
            <w:pPr>
              <w:jc w:val="center"/>
            </w:pPr>
            <w:r w:rsidRPr="00BE3748">
              <w:t>2009 – 2015</w:t>
            </w:r>
          </w:p>
        </w:tc>
        <w:tc>
          <w:tcPr>
            <w:tcW w:w="0" w:type="auto"/>
            <w:vAlign w:val="center"/>
          </w:tcPr>
          <w:p w14:paraId="65D0EE81" w14:textId="37893FD5" w:rsidR="003D04BD" w:rsidRPr="00BE3748" w:rsidRDefault="003D04BD" w:rsidP="0033510B">
            <w:pPr>
              <w:jc w:val="center"/>
            </w:pPr>
            <w:r w:rsidRPr="00BE3748">
              <w:t>0.064</w:t>
            </w:r>
          </w:p>
        </w:tc>
        <w:tc>
          <w:tcPr>
            <w:tcW w:w="0" w:type="auto"/>
            <w:vAlign w:val="center"/>
          </w:tcPr>
          <w:p w14:paraId="631C4096" w14:textId="5DDD2168" w:rsidR="003D04BD" w:rsidRPr="00BE3748" w:rsidRDefault="003D04BD" w:rsidP="0033510B">
            <w:pPr>
              <w:jc w:val="center"/>
            </w:pPr>
            <w:r w:rsidRPr="00BE3748">
              <w:t>1</w:t>
            </w:r>
          </w:p>
        </w:tc>
      </w:tr>
      <w:tr w:rsidR="003D04BD" w:rsidRPr="00BE3748" w14:paraId="5DC3FA11" w14:textId="4DE6AF3B" w:rsidTr="003D04BD">
        <w:trPr>
          <w:jc w:val="center"/>
        </w:trPr>
        <w:tc>
          <w:tcPr>
            <w:tcW w:w="0" w:type="auto"/>
            <w:vAlign w:val="center"/>
          </w:tcPr>
          <w:p w14:paraId="02785C05" w14:textId="498F3DBE" w:rsidR="003D04BD" w:rsidRPr="00BE3748" w:rsidRDefault="003D04BD" w:rsidP="0033510B">
            <w:pPr>
              <w:jc w:val="center"/>
            </w:pPr>
            <w:r w:rsidRPr="00BE3748">
              <w:t>2009 – 2016</w:t>
            </w:r>
          </w:p>
        </w:tc>
        <w:tc>
          <w:tcPr>
            <w:tcW w:w="0" w:type="auto"/>
            <w:vAlign w:val="center"/>
          </w:tcPr>
          <w:p w14:paraId="5E6EDA92" w14:textId="0AD01AFC" w:rsidR="003D04BD" w:rsidRPr="00BE3748" w:rsidRDefault="003D04BD" w:rsidP="0033510B">
            <w:pPr>
              <w:jc w:val="center"/>
            </w:pPr>
            <w:r w:rsidRPr="00BE3748">
              <w:t>0.066</w:t>
            </w:r>
          </w:p>
        </w:tc>
        <w:tc>
          <w:tcPr>
            <w:tcW w:w="0" w:type="auto"/>
            <w:vAlign w:val="center"/>
          </w:tcPr>
          <w:p w14:paraId="25DD4420" w14:textId="2CB604A6" w:rsidR="003D04BD" w:rsidRPr="00BE3748" w:rsidRDefault="003D04BD" w:rsidP="0033510B">
            <w:pPr>
              <w:jc w:val="center"/>
            </w:pPr>
            <w:r w:rsidRPr="00BE3748">
              <w:t>-0.031</w:t>
            </w:r>
          </w:p>
        </w:tc>
      </w:tr>
      <w:tr w:rsidR="003D04BD" w:rsidRPr="00BE3748" w14:paraId="086BC41E" w14:textId="348B435C" w:rsidTr="003D04BD">
        <w:trPr>
          <w:jc w:val="center"/>
        </w:trPr>
        <w:tc>
          <w:tcPr>
            <w:tcW w:w="0" w:type="auto"/>
            <w:vAlign w:val="center"/>
          </w:tcPr>
          <w:p w14:paraId="425D45A7" w14:textId="36DD28D1" w:rsidR="003D04BD" w:rsidRPr="00BE3748" w:rsidRDefault="003D04BD" w:rsidP="0033510B">
            <w:pPr>
              <w:jc w:val="center"/>
            </w:pPr>
            <w:r w:rsidRPr="00BE3748">
              <w:t>2009 – 2017</w:t>
            </w:r>
          </w:p>
        </w:tc>
        <w:tc>
          <w:tcPr>
            <w:tcW w:w="0" w:type="auto"/>
            <w:vAlign w:val="center"/>
          </w:tcPr>
          <w:p w14:paraId="0F45EB97" w14:textId="29C9ED74" w:rsidR="003D04BD" w:rsidRPr="00BE3748" w:rsidRDefault="003D04BD" w:rsidP="0033510B">
            <w:pPr>
              <w:jc w:val="center"/>
            </w:pPr>
            <w:r w:rsidRPr="00BE3748">
              <w:t>0.005</w:t>
            </w:r>
          </w:p>
        </w:tc>
        <w:tc>
          <w:tcPr>
            <w:tcW w:w="0" w:type="auto"/>
            <w:vAlign w:val="center"/>
          </w:tcPr>
          <w:p w14:paraId="5DA4020D" w14:textId="77057880" w:rsidR="003D04BD" w:rsidRPr="00BE3748" w:rsidRDefault="003D04BD" w:rsidP="0033510B">
            <w:pPr>
              <w:jc w:val="center"/>
            </w:pPr>
            <w:r w:rsidRPr="00BE3748">
              <w:t>-0.067</w:t>
            </w:r>
          </w:p>
        </w:tc>
      </w:tr>
      <w:tr w:rsidR="003D04BD" w:rsidRPr="00BE3748" w14:paraId="523751AE" w14:textId="77EFA08F" w:rsidTr="003D04BD">
        <w:trPr>
          <w:jc w:val="center"/>
        </w:trPr>
        <w:tc>
          <w:tcPr>
            <w:tcW w:w="0" w:type="auto"/>
            <w:vAlign w:val="center"/>
          </w:tcPr>
          <w:p w14:paraId="294F7895" w14:textId="43353AAC" w:rsidR="003D04BD" w:rsidRPr="00BE3748" w:rsidRDefault="003D04BD" w:rsidP="0033510B">
            <w:pPr>
              <w:jc w:val="center"/>
            </w:pPr>
            <w:r w:rsidRPr="00BE3748">
              <w:t>2009 – 2018</w:t>
            </w:r>
          </w:p>
        </w:tc>
        <w:tc>
          <w:tcPr>
            <w:tcW w:w="0" w:type="auto"/>
            <w:vAlign w:val="center"/>
          </w:tcPr>
          <w:p w14:paraId="68D1C31E" w14:textId="2A6DE9CE" w:rsidR="003D04BD" w:rsidRPr="00BE3748" w:rsidRDefault="003D04BD" w:rsidP="0033510B">
            <w:pPr>
              <w:jc w:val="center"/>
            </w:pPr>
            <w:r w:rsidRPr="00BE3748">
              <w:t>0.006</w:t>
            </w:r>
          </w:p>
        </w:tc>
        <w:tc>
          <w:tcPr>
            <w:tcW w:w="0" w:type="auto"/>
            <w:vAlign w:val="center"/>
          </w:tcPr>
          <w:p w14:paraId="3EEF871C" w14:textId="781BFC2B" w:rsidR="003D04BD" w:rsidRPr="00BE3748" w:rsidRDefault="003D04BD" w:rsidP="0033510B">
            <w:pPr>
              <w:jc w:val="center"/>
            </w:pPr>
            <w:r w:rsidRPr="00BE3748">
              <w:t>0.135</w:t>
            </w:r>
          </w:p>
        </w:tc>
      </w:tr>
      <w:tr w:rsidR="003D04BD" w:rsidRPr="00BE3748" w14:paraId="21F18107" w14:textId="061F0C13" w:rsidTr="003D04BD">
        <w:trPr>
          <w:jc w:val="center"/>
        </w:trPr>
        <w:tc>
          <w:tcPr>
            <w:tcW w:w="0" w:type="auto"/>
            <w:vAlign w:val="center"/>
          </w:tcPr>
          <w:p w14:paraId="7368E40C" w14:textId="2CC7EC1E" w:rsidR="003D04BD" w:rsidRPr="00BE3748" w:rsidRDefault="003D04BD" w:rsidP="0033510B">
            <w:pPr>
              <w:jc w:val="center"/>
            </w:pPr>
            <w:r w:rsidRPr="00BE3748">
              <w:t>2014 – 2018</w:t>
            </w:r>
          </w:p>
        </w:tc>
        <w:tc>
          <w:tcPr>
            <w:tcW w:w="0" w:type="auto"/>
            <w:vAlign w:val="center"/>
          </w:tcPr>
          <w:p w14:paraId="1A019B9E" w14:textId="03BFD063" w:rsidR="003D04BD" w:rsidRPr="00BE3748" w:rsidRDefault="003D04BD" w:rsidP="0033510B">
            <w:pPr>
              <w:jc w:val="center"/>
            </w:pPr>
            <w:r w:rsidRPr="00BE3748">
              <w:t>0.031</w:t>
            </w:r>
          </w:p>
        </w:tc>
        <w:tc>
          <w:tcPr>
            <w:tcW w:w="0" w:type="auto"/>
            <w:vAlign w:val="center"/>
          </w:tcPr>
          <w:p w14:paraId="701EF2A4" w14:textId="4BEED2D3" w:rsidR="003D04BD" w:rsidRPr="00BE3748" w:rsidRDefault="003D04BD" w:rsidP="0033510B">
            <w:pPr>
              <w:jc w:val="center"/>
            </w:pPr>
            <w:r w:rsidRPr="00BE3748">
              <w:t>0.142</w:t>
            </w:r>
          </w:p>
        </w:tc>
      </w:tr>
    </w:tbl>
    <w:p w14:paraId="4729C5DA" w14:textId="77777777" w:rsidR="00BE3748" w:rsidRDefault="00BE3748" w:rsidP="0033510B">
      <w:pPr>
        <w:pStyle w:val="ReferenceHead"/>
        <w:numPr>
          <w:ilvl w:val="0"/>
          <w:numId w:val="0"/>
        </w:numPr>
        <w:ind w:left="479"/>
      </w:pPr>
    </w:p>
    <w:p w14:paraId="3EC13ED3" w14:textId="4D9C775C" w:rsidR="00C85F3F" w:rsidRPr="00BE3748" w:rsidRDefault="00DE7333" w:rsidP="0033510B">
      <w:pPr>
        <w:ind w:left="142"/>
        <w:rPr>
          <w:b/>
        </w:rPr>
      </w:pPr>
      <w:r w:rsidRPr="00BE3748">
        <w:t xml:space="preserve">From </w:t>
      </w:r>
      <w:r w:rsidR="00320390" w:rsidRPr="00BE3748">
        <w:t>th</w:t>
      </w:r>
      <w:r w:rsidR="00320390">
        <w:t>ese</w:t>
      </w:r>
      <w:r w:rsidR="00320390" w:rsidRPr="00BE3748">
        <w:t xml:space="preserve"> </w:t>
      </w:r>
      <w:r w:rsidRPr="00BE3748">
        <w:t xml:space="preserve">results, future land use prediction can be simulated using the year 2009 and 2014 due to having </w:t>
      </w:r>
      <w:r w:rsidR="00320390">
        <w:t xml:space="preserve">a </w:t>
      </w:r>
      <w:r w:rsidRPr="00BE3748">
        <w:t xml:space="preserve">low </w:t>
      </w:r>
      <w:proofErr w:type="spellStart"/>
      <w:r w:rsidRPr="00BE3748">
        <w:t>FoM</w:t>
      </w:r>
      <w:proofErr w:type="spellEnd"/>
      <w:r w:rsidRPr="00BE3748">
        <w:t xml:space="preserve"> value of 2.8% as well as </w:t>
      </w:r>
      <w:r w:rsidR="00320390">
        <w:t xml:space="preserve">a </w:t>
      </w:r>
      <w:r w:rsidRPr="00BE3748">
        <w:t xml:space="preserve">high kappa coefficient of 77.8%. The validation results </w:t>
      </w:r>
      <w:r w:rsidR="26C9B5FB" w:rsidRPr="00BE3748">
        <w:t>indicate</w:t>
      </w:r>
      <w:r w:rsidRPr="00BE3748">
        <w:t xml:space="preserve"> that the FLUS model is capable of reproducing </w:t>
      </w:r>
      <w:r w:rsidR="00320390">
        <w:t xml:space="preserve">the </w:t>
      </w:r>
      <w:r w:rsidRPr="00BE3748">
        <w:t xml:space="preserve">spatial dynamics of multiple LUCC with reassuring accuracy </w:t>
      </w:r>
      <w:r w:rsidRPr="00BE3748">
        <w:fldChar w:fldCharType="begin" w:fldLock="1"/>
      </w:r>
      <w:r w:rsidRPr="00BE3748">
        <w:instrText>ADDIN CSL_CITATION {"citationItems":[{"id":"ITEM-1","itemData":{"DOI":"10.1016/j.landurbplan.2017.09.019","ISSN":"01692046","abstract":"Land use and land cover change (LUCC) simulation models are effective and reproducible tools for analyzing both the causes and consequences of future landscape dynamics under various scenarios. Current simulation models primarily focus on the evolution of specific land use types under the influence of human activities, but they rarely consider background climatic effects. However, these background climate changes significantly affect the landscape dynamics and should be incorporated into long-term LUCC simulations under various human-climate-included scenarios. In this paper, we propose a future land use simulation (FLUS) model that explicitly simulates the long-term spatial trajectories of multiple LUCCs. The top-down system dynamics and bottom-up cellular automata were interactively coupled during the projection period, which improved the model's ability to accurately simulate future land use patterns. A self-adaptive inertia and competition mechanism was developed within the CA model to process the complex competitions and interactions between the different land use types. The proposed model was applied to an LUCC simulation in China from 2000 to 2010. The results show promising grid-to-grid agreement compared to actual land use, and the simulation accuracy is higher than other well-accepted models, such as CLUE-S and CA models. The model was further applied to the simulation of four scenarios from 2010 to 2050 that depict different development strategies by considering various socio-economic and natural climatic factors. The simulation results and findings demonstrate that the proposed model is effective for future LUCC simulation under variously designed scenarios. FLUS is available for free download at http://www.geosimulation.cn/FLUS.html.","author":[{"dropping-particle":"","family":"Liu","given":"Xiaoping","non-dropping-particle":"","parse-names":false,"suffix":""},{"dropping-particle":"","family":"Liang","given":"Xun","non-dropping-particle":"","parse-names":false,"suffix":""},{"dropping-particle":"","family":"Li","given":"Xia","non-dropping-particle":"","parse-names":false,"suffix":""},{"dropping-particle":"","family":"Xu","given":"Xiaocong","non-dropping-particle":"","parse-names":false,"suffix":""},{"dropping-particle":"","family":"Ou","given":"Jinpei","non-dropping-particle":"","parse-names":false,"suffix":""},{"dropping-particle":"","family":"Chen","given":"Yimin","non-dropping-particle":"","parse-names":false,"suffix":""},{"dropping-particle":"","family":"Li","given":"Shaoying","non-dropping-particle":"","parse-names":false,"suffix":""},{"dropping-particle":"","family":"Wang","given":"Shaojian","non-dropping-particle":"","parse-names":false,"suffix":""},{"dropping-particle":"","family":"Pei","given":"Fengsong","non-dropping-particle":"","parse-names":false,"suffix":""}],"container-title":"Landscape and Urban Planning","id":"ITEM-1","issue":"October","issued":{"date-parts":[["2017"]]},"page":"94-116","publisher":"Elsevier","title":"A future land use simulation model (FLUS) for simulating multiple land use scenarios by coupling human and natural effects","type":"article-journal","volume":"168"},"uris":["http://www.mendeley.com/documents/?uuid=1d317494-fc6b-4e2b-8309-48c56d99796e"]}],"mendeley":{"formattedCitation":"(X. Liu et al., 2017)","plainTextFormattedCitation":"(X. Liu et al., 2017)","previouslyFormattedCitation":"(X. Liu et al., 2017)"},"properties":{"noteIndex":0},"schema":"https://github.com/citation-style-language/schema/raw/master/csl-citation.json"}</w:instrText>
      </w:r>
      <w:r w:rsidRPr="00BE3748">
        <w:fldChar w:fldCharType="separate"/>
      </w:r>
      <w:r w:rsidRPr="00BE3748">
        <w:rPr>
          <w:noProof/>
        </w:rPr>
        <w:t>(X. Liu et al., 2017)</w:t>
      </w:r>
      <w:r w:rsidRPr="00BE3748">
        <w:fldChar w:fldCharType="end"/>
      </w:r>
      <w:r w:rsidRPr="00BE3748">
        <w:t>.</w:t>
      </w:r>
    </w:p>
    <w:p w14:paraId="66EDD78B" w14:textId="1389CB99" w:rsidR="00AC43AD" w:rsidRPr="00B74B0E" w:rsidRDefault="00AC43AD">
      <w:pPr>
        <w:rPr>
          <w:rFonts w:eastAsia="Times New Roman" w:cs="Times New Roman"/>
          <w:szCs w:val="24"/>
        </w:rPr>
      </w:pPr>
    </w:p>
    <w:p w14:paraId="6402FB94" w14:textId="0AA472DF" w:rsidR="00597F2E" w:rsidRPr="00B74B0E" w:rsidRDefault="00597F2E" w:rsidP="001F7066">
      <w:pPr>
        <w:pStyle w:val="Heading1"/>
        <w:numPr>
          <w:ilvl w:val="0"/>
          <w:numId w:val="2"/>
        </w:numPr>
        <w:tabs>
          <w:tab w:val="left" w:pos="422"/>
        </w:tabs>
        <w:rPr>
          <w:rFonts w:cs="Times New Roman"/>
          <w:b w:val="0"/>
          <w:bCs w:val="0"/>
        </w:rPr>
      </w:pPr>
      <w:r w:rsidRPr="00B74B0E">
        <w:rPr>
          <w:rFonts w:cs="Times New Roman"/>
        </w:rPr>
        <w:t>CONCLUSION</w:t>
      </w:r>
    </w:p>
    <w:p w14:paraId="28545CFD" w14:textId="77777777" w:rsidR="00597F2E" w:rsidRPr="00B74B0E" w:rsidRDefault="00597F2E">
      <w:pPr>
        <w:rPr>
          <w:rFonts w:eastAsia="Times New Roman" w:cs="Times New Roman"/>
          <w:szCs w:val="24"/>
        </w:rPr>
      </w:pPr>
    </w:p>
    <w:p w14:paraId="7009ACE1" w14:textId="39635F6D" w:rsidR="00FE2B0D" w:rsidRPr="00B74B0E" w:rsidRDefault="0045288B" w:rsidP="0050184F">
      <w:pPr>
        <w:pStyle w:val="BodyText"/>
        <w:spacing w:line="233" w:lineRule="auto"/>
        <w:ind w:left="114" w:right="146"/>
      </w:pPr>
      <w:r w:rsidRPr="00B74B0E">
        <w:t xml:space="preserve">Many city </w:t>
      </w:r>
      <w:r w:rsidR="20C8FC18" w:rsidRPr="00B74B0E">
        <w:t>planners</w:t>
      </w:r>
      <w:r w:rsidRPr="00B74B0E">
        <w:t xml:space="preserve"> can benefit from using </w:t>
      </w:r>
      <w:r w:rsidR="00320390" w:rsidRPr="00B74B0E">
        <w:t>land</w:t>
      </w:r>
      <w:r w:rsidR="00320390">
        <w:t>-</w:t>
      </w:r>
      <w:r w:rsidRPr="00B74B0E">
        <w:t xml:space="preserve">use simulation as they are a </w:t>
      </w:r>
      <w:r w:rsidR="20C0F2D4" w:rsidRPr="00B74B0E">
        <w:t>cost-effective</w:t>
      </w:r>
      <w:r w:rsidRPr="00B74B0E">
        <w:t xml:space="preserve"> way to analyze future landscape dynamics relative to the driving factors. This </w:t>
      </w:r>
      <w:r w:rsidR="00320390">
        <w:t xml:space="preserve">is a preliminary study. This </w:t>
      </w:r>
      <w:r w:rsidRPr="00B74B0E">
        <w:t xml:space="preserve">study shows that by comparing the </w:t>
      </w:r>
      <w:r w:rsidR="00320390" w:rsidRPr="00B74B0E">
        <w:t>land</w:t>
      </w:r>
      <w:r w:rsidR="00320390">
        <w:t>-</w:t>
      </w:r>
      <w:r w:rsidRPr="00B74B0E">
        <w:t xml:space="preserve">use change of two different years with a </w:t>
      </w:r>
      <w:r w:rsidR="00320390" w:rsidRPr="00B74B0E">
        <w:t>minim</w:t>
      </w:r>
      <w:r w:rsidR="00320390">
        <w:t>um</w:t>
      </w:r>
      <w:r w:rsidR="00320390" w:rsidRPr="00B74B0E">
        <w:t xml:space="preserve"> </w:t>
      </w:r>
      <w:r w:rsidRPr="00B74B0E">
        <w:t xml:space="preserve">of a 4-year gap, those years can be used to predict future </w:t>
      </w:r>
      <w:r w:rsidR="00320390" w:rsidRPr="00B74B0E">
        <w:t>land</w:t>
      </w:r>
      <w:r w:rsidR="00320390">
        <w:t>-</w:t>
      </w:r>
      <w:r w:rsidRPr="00B74B0E">
        <w:t xml:space="preserve">use changes based on their </w:t>
      </w:r>
      <w:proofErr w:type="spellStart"/>
      <w:r w:rsidRPr="00B74B0E">
        <w:t>FoM</w:t>
      </w:r>
      <w:proofErr w:type="spellEnd"/>
      <w:r w:rsidRPr="00B74B0E">
        <w:t xml:space="preserve"> values, where the smaller the value the better the results. </w:t>
      </w:r>
      <w:r w:rsidR="00320390" w:rsidRPr="00B74B0E">
        <w:rPr>
          <w:rFonts w:cs="Times New Roman"/>
          <w:spacing w:val="10"/>
        </w:rPr>
        <w:t>This study considered on negative influence on ecosystem services in general, resulting from urban activities and infrastructure development. More specifically, this study has a presumption that there are significant land-use changes in the urban area. This study only used historical land-use change data to determine future predictions of land area per category. Further research is needed to consider social, economic, and climate factors to gain insight into more complex interactions. The application of several scenarios is necessary to produce more information for policymakers.</w:t>
      </w:r>
    </w:p>
    <w:p w14:paraId="0E46F275" w14:textId="77777777" w:rsidR="00BE3748" w:rsidRPr="00B74B0E" w:rsidRDefault="00BE3748">
      <w:pPr>
        <w:spacing w:before="6"/>
        <w:rPr>
          <w:rFonts w:eastAsia="Times New Roman" w:cs="Times New Roman"/>
          <w:szCs w:val="24"/>
        </w:rPr>
      </w:pPr>
    </w:p>
    <w:p w14:paraId="771DDB19" w14:textId="77777777" w:rsidR="00597F2E" w:rsidRPr="00BE3748" w:rsidRDefault="00597F2E" w:rsidP="0033510B">
      <w:pPr>
        <w:pStyle w:val="ReferenceHead"/>
        <w:numPr>
          <w:ilvl w:val="0"/>
          <w:numId w:val="0"/>
        </w:numPr>
        <w:ind w:left="479" w:hanging="360"/>
      </w:pPr>
      <w:r w:rsidRPr="00BE3748">
        <w:t>REFERENCES</w:t>
      </w:r>
    </w:p>
    <w:p w14:paraId="52D01A71" w14:textId="77777777" w:rsidR="00BE3748" w:rsidRPr="00BE3748" w:rsidRDefault="00BE3748" w:rsidP="0033510B">
      <w:pPr>
        <w:pStyle w:val="ReferenceHead"/>
        <w:numPr>
          <w:ilvl w:val="0"/>
          <w:numId w:val="0"/>
        </w:numPr>
        <w:ind w:left="479"/>
      </w:pPr>
    </w:p>
    <w:p w14:paraId="68D4AA6A" w14:textId="6B846E8E" w:rsidR="00376D06" w:rsidRPr="00B74B0E" w:rsidRDefault="00ED423E" w:rsidP="0050184F">
      <w:pPr>
        <w:autoSpaceDE w:val="0"/>
        <w:autoSpaceDN w:val="0"/>
        <w:adjustRightInd w:val="0"/>
        <w:spacing w:line="240" w:lineRule="exact"/>
        <w:ind w:left="567" w:hanging="425"/>
        <w:rPr>
          <w:rFonts w:cs="Times New Roman"/>
          <w:noProof/>
          <w:szCs w:val="24"/>
        </w:rPr>
      </w:pPr>
      <w:r w:rsidRPr="00B74B0E">
        <w:rPr>
          <w:rFonts w:cs="Times New Roman"/>
          <w:szCs w:val="24"/>
        </w:rPr>
        <w:fldChar w:fldCharType="begin" w:fldLock="1"/>
      </w:r>
      <w:r w:rsidRPr="00B74B0E">
        <w:rPr>
          <w:rFonts w:cs="Times New Roman"/>
          <w:szCs w:val="24"/>
        </w:rPr>
        <w:instrText xml:space="preserve">ADDIN Mendeley Bibliography CSL_BIBLIOGRAPHY </w:instrText>
      </w:r>
      <w:r w:rsidRPr="00B74B0E">
        <w:rPr>
          <w:rFonts w:cs="Times New Roman"/>
          <w:szCs w:val="24"/>
        </w:rPr>
        <w:fldChar w:fldCharType="separate"/>
      </w:r>
      <w:r w:rsidR="00376D06" w:rsidRPr="00B74B0E">
        <w:rPr>
          <w:rFonts w:cs="Times New Roman"/>
          <w:noProof/>
          <w:szCs w:val="24"/>
        </w:rPr>
        <w:t xml:space="preserve">Alberti, M., &amp; Waddell, P. (2000). </w:t>
      </w:r>
      <w:r w:rsidR="00376D06" w:rsidRPr="00B74B0E">
        <w:rPr>
          <w:rFonts w:cs="Times New Roman"/>
          <w:i/>
          <w:iCs/>
          <w:noProof/>
          <w:szCs w:val="24"/>
        </w:rPr>
        <w:t>An integrated urban development and ecological simulation model</w:t>
      </w:r>
      <w:r w:rsidR="00376D06" w:rsidRPr="00B74B0E">
        <w:rPr>
          <w:rFonts w:cs="Times New Roman"/>
          <w:noProof/>
          <w:szCs w:val="24"/>
        </w:rPr>
        <w:t xml:space="preserve">. </w:t>
      </w:r>
      <w:r w:rsidR="00376D06" w:rsidRPr="00B74B0E">
        <w:rPr>
          <w:rFonts w:cs="Times New Roman"/>
          <w:i/>
          <w:iCs/>
          <w:noProof/>
          <w:szCs w:val="24"/>
        </w:rPr>
        <w:t>1</w:t>
      </w:r>
      <w:r w:rsidR="00376D06" w:rsidRPr="00B74B0E">
        <w:rPr>
          <w:rFonts w:cs="Times New Roman"/>
          <w:noProof/>
          <w:szCs w:val="24"/>
        </w:rPr>
        <w:t>, 215–227.</w:t>
      </w:r>
    </w:p>
    <w:p w14:paraId="419A9CC5"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Asrida, T. (2016). Perencanaan Tata Guna Lahan Dalam Pembangunan di Indonesia. </w:t>
      </w:r>
      <w:r w:rsidRPr="00B74B0E">
        <w:rPr>
          <w:rFonts w:cs="Times New Roman"/>
          <w:i/>
          <w:iCs/>
          <w:noProof/>
          <w:szCs w:val="24"/>
        </w:rPr>
        <w:t>Gema Keadilan</w:t>
      </w:r>
      <w:r w:rsidRPr="00B74B0E">
        <w:rPr>
          <w:rFonts w:cs="Times New Roman"/>
          <w:noProof/>
          <w:szCs w:val="24"/>
        </w:rPr>
        <w:t xml:space="preserve">, </w:t>
      </w:r>
      <w:r w:rsidRPr="00B74B0E">
        <w:rPr>
          <w:rFonts w:cs="Times New Roman"/>
          <w:i/>
          <w:iCs/>
          <w:noProof/>
          <w:szCs w:val="24"/>
        </w:rPr>
        <w:t>3</w:t>
      </w:r>
      <w:r w:rsidRPr="00B74B0E">
        <w:rPr>
          <w:rFonts w:cs="Times New Roman"/>
          <w:noProof/>
          <w:szCs w:val="24"/>
        </w:rPr>
        <w:t>(1), 18–27. https://doi.org/10.3592/2</w:t>
      </w:r>
    </w:p>
    <w:p w14:paraId="637CF97F"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Balian, H. G., &amp; Eddy, N. W. (1977). Figure-of-merit (FOM), an improved criterion over the normalized chi-squared test for assessing goodness-of-fit of gamma-ray spectral peaks. </w:t>
      </w:r>
      <w:r w:rsidRPr="00B74B0E">
        <w:rPr>
          <w:rFonts w:cs="Times New Roman"/>
          <w:i/>
          <w:iCs/>
          <w:noProof/>
          <w:szCs w:val="24"/>
        </w:rPr>
        <w:t>Nuclear Instruments and Methods</w:t>
      </w:r>
      <w:r w:rsidRPr="00B74B0E">
        <w:rPr>
          <w:rFonts w:cs="Times New Roman"/>
          <w:noProof/>
          <w:szCs w:val="24"/>
        </w:rPr>
        <w:t xml:space="preserve">, </w:t>
      </w:r>
      <w:r w:rsidRPr="00B74B0E">
        <w:rPr>
          <w:rFonts w:cs="Times New Roman"/>
          <w:i/>
          <w:iCs/>
          <w:noProof/>
          <w:szCs w:val="24"/>
        </w:rPr>
        <w:t>145</w:t>
      </w:r>
      <w:r w:rsidRPr="00B74B0E">
        <w:rPr>
          <w:rFonts w:cs="Times New Roman"/>
          <w:noProof/>
          <w:szCs w:val="24"/>
        </w:rPr>
        <w:t>(2), 389–395. https://doi.org/10.1016/0029-554X(77)90437-2</w:t>
      </w:r>
    </w:p>
    <w:p w14:paraId="4C7C655D"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Chen, Y., Li, X., Liu, X., Zhang, Y., &amp; Huang, M. (2019). Tele-connecting China’s future urban growth to impacts on ecosystem services under the shared socioeconomic pathways. </w:t>
      </w:r>
      <w:r w:rsidRPr="00B74B0E">
        <w:rPr>
          <w:rFonts w:cs="Times New Roman"/>
          <w:i/>
          <w:iCs/>
          <w:noProof/>
          <w:szCs w:val="24"/>
        </w:rPr>
        <w:t>Science of the Total Environment</w:t>
      </w:r>
      <w:r w:rsidRPr="00B74B0E">
        <w:rPr>
          <w:rFonts w:cs="Times New Roman"/>
          <w:noProof/>
          <w:szCs w:val="24"/>
        </w:rPr>
        <w:t xml:space="preserve">, </w:t>
      </w:r>
      <w:r w:rsidRPr="00B74B0E">
        <w:rPr>
          <w:rFonts w:cs="Times New Roman"/>
          <w:i/>
          <w:iCs/>
          <w:noProof/>
          <w:szCs w:val="24"/>
        </w:rPr>
        <w:t>652</w:t>
      </w:r>
      <w:r w:rsidRPr="00B74B0E">
        <w:rPr>
          <w:rFonts w:cs="Times New Roman"/>
          <w:noProof/>
          <w:szCs w:val="24"/>
        </w:rPr>
        <w:t>, 765–779. https://doi.org/10.1016/j.scitotenv.2018.10.283</w:t>
      </w:r>
    </w:p>
    <w:p w14:paraId="5B496DA9"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Davidson, K., Nguyen, T. M. P., Beilin, R., &amp; Briggs, J. (2019). The emerging addition of resilience as a component of sustainability in urban policy. </w:t>
      </w:r>
      <w:r w:rsidRPr="00B74B0E">
        <w:rPr>
          <w:rFonts w:cs="Times New Roman"/>
          <w:i/>
          <w:iCs/>
          <w:noProof/>
          <w:szCs w:val="24"/>
        </w:rPr>
        <w:t>Cities</w:t>
      </w:r>
      <w:r w:rsidRPr="00B74B0E">
        <w:rPr>
          <w:rFonts w:cs="Times New Roman"/>
          <w:noProof/>
          <w:szCs w:val="24"/>
        </w:rPr>
        <w:t xml:space="preserve">, </w:t>
      </w:r>
      <w:r w:rsidRPr="00B74B0E">
        <w:rPr>
          <w:rFonts w:cs="Times New Roman"/>
          <w:i/>
          <w:iCs/>
          <w:noProof/>
          <w:szCs w:val="24"/>
        </w:rPr>
        <w:t>92</w:t>
      </w:r>
      <w:r w:rsidRPr="00B74B0E">
        <w:rPr>
          <w:rFonts w:cs="Times New Roman"/>
          <w:noProof/>
          <w:szCs w:val="24"/>
        </w:rPr>
        <w:t>(April 2018), 1–9. https://doi.org/10.1016/j.cities.2019.03.012</w:t>
      </w:r>
    </w:p>
    <w:p w14:paraId="2B00D42C"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Dietzel, C., &amp; Clarke, K. (2006). The effect of disaggregating land use categories in cellular automata during model calibration and forecasting. </w:t>
      </w:r>
      <w:r w:rsidRPr="00B74B0E">
        <w:rPr>
          <w:rFonts w:cs="Times New Roman"/>
          <w:i/>
          <w:iCs/>
          <w:noProof/>
          <w:szCs w:val="24"/>
        </w:rPr>
        <w:t xml:space="preserve">Computers, Environment and Urban </w:t>
      </w:r>
      <w:r w:rsidRPr="00B74B0E">
        <w:rPr>
          <w:rFonts w:cs="Times New Roman"/>
          <w:i/>
          <w:iCs/>
          <w:noProof/>
          <w:szCs w:val="24"/>
        </w:rPr>
        <w:lastRenderedPageBreak/>
        <w:t>Systems</w:t>
      </w:r>
      <w:r w:rsidRPr="00B74B0E">
        <w:rPr>
          <w:rFonts w:cs="Times New Roman"/>
          <w:noProof/>
          <w:szCs w:val="24"/>
        </w:rPr>
        <w:t xml:space="preserve">, </w:t>
      </w:r>
      <w:r w:rsidRPr="00B74B0E">
        <w:rPr>
          <w:rFonts w:cs="Times New Roman"/>
          <w:i/>
          <w:iCs/>
          <w:noProof/>
          <w:szCs w:val="24"/>
        </w:rPr>
        <w:t>30</w:t>
      </w:r>
      <w:r w:rsidRPr="00B74B0E">
        <w:rPr>
          <w:rFonts w:cs="Times New Roman"/>
          <w:noProof/>
          <w:szCs w:val="24"/>
        </w:rPr>
        <w:t>(1), 78–101. https://doi.org/10.1016/j.compenvurbsys.2005.04.001</w:t>
      </w:r>
    </w:p>
    <w:p w14:paraId="59D8656A"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Fitriyanto, B. R., Helmi, M., &amp; Hadiyanto. (2019). Analyzing spatiotemporal types and patterns of urban growth in watersheds that flow into Jakarta Bay, Indonesia. </w:t>
      </w:r>
      <w:r w:rsidRPr="00B74B0E">
        <w:rPr>
          <w:rFonts w:cs="Times New Roman"/>
          <w:i/>
          <w:iCs/>
          <w:noProof/>
          <w:szCs w:val="24"/>
        </w:rPr>
        <w:t>Remote Sensing Applications: Society and Environment</w:t>
      </w:r>
      <w:r w:rsidRPr="00B74B0E">
        <w:rPr>
          <w:rFonts w:cs="Times New Roman"/>
          <w:noProof/>
          <w:szCs w:val="24"/>
        </w:rPr>
        <w:t xml:space="preserve">, </w:t>
      </w:r>
      <w:r w:rsidRPr="00B74B0E">
        <w:rPr>
          <w:rFonts w:cs="Times New Roman"/>
          <w:i/>
          <w:iCs/>
          <w:noProof/>
          <w:szCs w:val="24"/>
        </w:rPr>
        <w:t>14</w:t>
      </w:r>
      <w:r w:rsidRPr="00B74B0E">
        <w:rPr>
          <w:rFonts w:cs="Times New Roman"/>
          <w:noProof/>
          <w:szCs w:val="24"/>
        </w:rPr>
        <w:t>(February), 170–177. https://doi.org/10.1016/j.rsase.2019.04.002</w:t>
      </w:r>
    </w:p>
    <w:p w14:paraId="5DB76DA5"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Hadi Prayitno, A. F. (2007). Analisa Model Gravity dan Analogi Fluida padaTrip Distribusi Penumpang Angkutan Kota Trayek Terminal Bratang – JMP Surabaya. </w:t>
      </w:r>
      <w:r w:rsidRPr="00B74B0E">
        <w:rPr>
          <w:rFonts w:cs="Times New Roman"/>
          <w:i/>
          <w:iCs/>
          <w:noProof/>
          <w:szCs w:val="24"/>
        </w:rPr>
        <w:t>Jurnal Aplikasi Teknik Sipil</w:t>
      </w:r>
      <w:r w:rsidRPr="00B74B0E">
        <w:rPr>
          <w:rFonts w:cs="Times New Roman"/>
          <w:noProof/>
          <w:szCs w:val="24"/>
        </w:rPr>
        <w:t xml:space="preserve">, </w:t>
      </w:r>
      <w:r w:rsidRPr="00B74B0E">
        <w:rPr>
          <w:rFonts w:cs="Times New Roman"/>
          <w:i/>
          <w:iCs/>
          <w:noProof/>
          <w:szCs w:val="24"/>
        </w:rPr>
        <w:t>2</w:t>
      </w:r>
      <w:r w:rsidRPr="00B74B0E">
        <w:rPr>
          <w:rFonts w:cs="Times New Roman"/>
          <w:noProof/>
          <w:szCs w:val="24"/>
        </w:rPr>
        <w:t>(1), 31. https://doi.org/10.12962/j12345678.v2i1.2552</w:t>
      </w:r>
    </w:p>
    <w:p w14:paraId="60F6407C"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Jansen, L. J. M., &amp; Di Gregorio, A. (2003). Land-use data collection using the “land cover classification system”: Results from a case study in Kenya. </w:t>
      </w:r>
      <w:r w:rsidRPr="00B74B0E">
        <w:rPr>
          <w:rFonts w:cs="Times New Roman"/>
          <w:i/>
          <w:iCs/>
          <w:noProof/>
          <w:szCs w:val="24"/>
        </w:rPr>
        <w:t>Land Use Policy</w:t>
      </w:r>
      <w:r w:rsidRPr="00B74B0E">
        <w:rPr>
          <w:rFonts w:cs="Times New Roman"/>
          <w:noProof/>
          <w:szCs w:val="24"/>
        </w:rPr>
        <w:t xml:space="preserve">, </w:t>
      </w:r>
      <w:r w:rsidRPr="00B74B0E">
        <w:rPr>
          <w:rFonts w:cs="Times New Roman"/>
          <w:i/>
          <w:iCs/>
          <w:noProof/>
          <w:szCs w:val="24"/>
        </w:rPr>
        <w:t>20</w:t>
      </w:r>
      <w:r w:rsidRPr="00B74B0E">
        <w:rPr>
          <w:rFonts w:cs="Times New Roman"/>
          <w:noProof/>
          <w:szCs w:val="24"/>
        </w:rPr>
        <w:t>(2), 131–148. https://doi.org/10.1016/S0264-8377(02)00081-9</w:t>
      </w:r>
    </w:p>
    <w:p w14:paraId="6214C450"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Kardinal Jusuf, S., Wong, N. H., Hagen, E., Anggoro, R., &amp; Hong, Y. (2007). The influence of land use on the urban heat island in Singapore. </w:t>
      </w:r>
      <w:r w:rsidRPr="00B74B0E">
        <w:rPr>
          <w:rFonts w:cs="Times New Roman"/>
          <w:i/>
          <w:iCs/>
          <w:noProof/>
          <w:szCs w:val="24"/>
        </w:rPr>
        <w:t>Habitat International</w:t>
      </w:r>
      <w:r w:rsidRPr="00B74B0E">
        <w:rPr>
          <w:rFonts w:cs="Times New Roman"/>
          <w:noProof/>
          <w:szCs w:val="24"/>
        </w:rPr>
        <w:t xml:space="preserve">, </w:t>
      </w:r>
      <w:r w:rsidRPr="00B74B0E">
        <w:rPr>
          <w:rFonts w:cs="Times New Roman"/>
          <w:i/>
          <w:iCs/>
          <w:noProof/>
          <w:szCs w:val="24"/>
        </w:rPr>
        <w:t>31</w:t>
      </w:r>
      <w:r w:rsidRPr="00B74B0E">
        <w:rPr>
          <w:rFonts w:cs="Times New Roman"/>
          <w:noProof/>
          <w:szCs w:val="24"/>
        </w:rPr>
        <w:t>(2), 232–242. https://doi.org/10.1016/j.habitatint.2007.02.006</w:t>
      </w:r>
    </w:p>
    <w:p w14:paraId="51BC2726"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LaGro, J. (2004). Encyclopedia of Soils in the Environment. </w:t>
      </w:r>
      <w:r w:rsidRPr="00B74B0E">
        <w:rPr>
          <w:rFonts w:cs="Times New Roman"/>
          <w:i/>
          <w:iCs/>
          <w:noProof/>
          <w:szCs w:val="24"/>
        </w:rPr>
        <w:t>Encyclopedia of Soils in the Environment</w:t>
      </w:r>
      <w:r w:rsidRPr="00B74B0E">
        <w:rPr>
          <w:rFonts w:cs="Times New Roman"/>
          <w:noProof/>
          <w:szCs w:val="24"/>
        </w:rPr>
        <w:t>, 321–328. https://doi.org/10.1016/B0-12-348530-4/00530-0</w:t>
      </w:r>
    </w:p>
    <w:p w14:paraId="3A36C0D6"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Li, X., &amp; Yeh, A. G. O. (2002). Neural-network-based cellular automata for simulating multiple land use changes using GIS. </w:t>
      </w:r>
      <w:r w:rsidRPr="00B74B0E">
        <w:rPr>
          <w:rFonts w:cs="Times New Roman"/>
          <w:i/>
          <w:iCs/>
          <w:noProof/>
          <w:szCs w:val="24"/>
        </w:rPr>
        <w:t>International Journal of Geographical Information Science</w:t>
      </w:r>
      <w:r w:rsidRPr="00B74B0E">
        <w:rPr>
          <w:rFonts w:cs="Times New Roman"/>
          <w:noProof/>
          <w:szCs w:val="24"/>
        </w:rPr>
        <w:t xml:space="preserve">, </w:t>
      </w:r>
      <w:r w:rsidRPr="00B74B0E">
        <w:rPr>
          <w:rFonts w:cs="Times New Roman"/>
          <w:i/>
          <w:iCs/>
          <w:noProof/>
          <w:szCs w:val="24"/>
        </w:rPr>
        <w:t>16</w:t>
      </w:r>
      <w:r w:rsidRPr="00B74B0E">
        <w:rPr>
          <w:rFonts w:cs="Times New Roman"/>
          <w:noProof/>
          <w:szCs w:val="24"/>
        </w:rPr>
        <w:t>(4), 323–343. https://doi.org/10.1080/13658810210137004</w:t>
      </w:r>
    </w:p>
    <w:p w14:paraId="61909806"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Liang, X., Liu, X., Li, D., Zhao, H., &amp; Chen, G. (2018). Urban growth simulation by incorporating planning policies into a CA-based future land-use simulation model. </w:t>
      </w:r>
      <w:r w:rsidRPr="00B74B0E">
        <w:rPr>
          <w:rFonts w:cs="Times New Roman"/>
          <w:i/>
          <w:iCs/>
          <w:noProof/>
          <w:szCs w:val="24"/>
        </w:rPr>
        <w:t>International Journal of Geographical Information Science</w:t>
      </w:r>
      <w:r w:rsidRPr="00B74B0E">
        <w:rPr>
          <w:rFonts w:cs="Times New Roman"/>
          <w:noProof/>
          <w:szCs w:val="24"/>
        </w:rPr>
        <w:t xml:space="preserve">, </w:t>
      </w:r>
      <w:r w:rsidRPr="00B74B0E">
        <w:rPr>
          <w:rFonts w:cs="Times New Roman"/>
          <w:i/>
          <w:iCs/>
          <w:noProof/>
          <w:szCs w:val="24"/>
        </w:rPr>
        <w:t>32</w:t>
      </w:r>
      <w:r w:rsidRPr="00B74B0E">
        <w:rPr>
          <w:rFonts w:cs="Times New Roman"/>
          <w:noProof/>
          <w:szCs w:val="24"/>
        </w:rPr>
        <w:t>(11), 2294–2316. https://doi.org/10.1080/13658816.2018.1502441</w:t>
      </w:r>
    </w:p>
    <w:p w14:paraId="0325068F"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Liang, X., Liu, X., Li, X., Chen, Y., Tian, H., &amp; Yao, Y. (2018). Delineating multi-scenario urban growth boundaries with a CA-based FLUS model and morphological method. </w:t>
      </w:r>
      <w:r w:rsidRPr="00B74B0E">
        <w:rPr>
          <w:rFonts w:cs="Times New Roman"/>
          <w:i/>
          <w:iCs/>
          <w:noProof/>
          <w:szCs w:val="24"/>
        </w:rPr>
        <w:t>Landscape and Urban Planning</w:t>
      </w:r>
      <w:r w:rsidRPr="00B74B0E">
        <w:rPr>
          <w:rFonts w:cs="Times New Roman"/>
          <w:noProof/>
          <w:szCs w:val="24"/>
        </w:rPr>
        <w:t xml:space="preserve">, </w:t>
      </w:r>
      <w:r w:rsidRPr="00B74B0E">
        <w:rPr>
          <w:rFonts w:cs="Times New Roman"/>
          <w:i/>
          <w:iCs/>
          <w:noProof/>
          <w:szCs w:val="24"/>
        </w:rPr>
        <w:t>177</w:t>
      </w:r>
      <w:r w:rsidRPr="00B74B0E">
        <w:rPr>
          <w:rFonts w:cs="Times New Roman"/>
          <w:noProof/>
          <w:szCs w:val="24"/>
        </w:rPr>
        <w:t>(September 2017), 47–63. https://doi.org/10.1016/j.landurbplan.2018.04.016</w:t>
      </w:r>
    </w:p>
    <w:p w14:paraId="3E795066"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Liu, T., &amp; Yang, X. (2015). Monitoring land changes in an urban area using satellite imagery, GIS and landscape metrics. </w:t>
      </w:r>
      <w:r w:rsidRPr="00B74B0E">
        <w:rPr>
          <w:rFonts w:cs="Times New Roman"/>
          <w:i/>
          <w:iCs/>
          <w:noProof/>
          <w:szCs w:val="24"/>
        </w:rPr>
        <w:t>Applied Geography</w:t>
      </w:r>
      <w:r w:rsidRPr="00B74B0E">
        <w:rPr>
          <w:rFonts w:cs="Times New Roman"/>
          <w:noProof/>
          <w:szCs w:val="24"/>
        </w:rPr>
        <w:t xml:space="preserve">, </w:t>
      </w:r>
      <w:r w:rsidRPr="00B74B0E">
        <w:rPr>
          <w:rFonts w:cs="Times New Roman"/>
          <w:i/>
          <w:iCs/>
          <w:noProof/>
          <w:szCs w:val="24"/>
        </w:rPr>
        <w:t>56</w:t>
      </w:r>
      <w:r w:rsidRPr="00B74B0E">
        <w:rPr>
          <w:rFonts w:cs="Times New Roman"/>
          <w:noProof/>
          <w:szCs w:val="24"/>
        </w:rPr>
        <w:t>, 42–54. https://doi.org/10.1016/j.apgeog.2014.10.002</w:t>
      </w:r>
    </w:p>
    <w:p w14:paraId="4F0E3897"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Liu, X., Liang, X., Li, X., Xu, X., Ou, J., Chen, Y., Li, S., Wang, S., &amp; Pei, F. (2017). A future land use simulation model (FLUS) for simulating multiple land use scenarios by coupling human and natural effects. </w:t>
      </w:r>
      <w:r w:rsidRPr="00B74B0E">
        <w:rPr>
          <w:rFonts w:cs="Times New Roman"/>
          <w:i/>
          <w:iCs/>
          <w:noProof/>
          <w:szCs w:val="24"/>
        </w:rPr>
        <w:t>Landscape and Urban Planning</w:t>
      </w:r>
      <w:r w:rsidRPr="00B74B0E">
        <w:rPr>
          <w:rFonts w:cs="Times New Roman"/>
          <w:noProof/>
          <w:szCs w:val="24"/>
        </w:rPr>
        <w:t xml:space="preserve">, </w:t>
      </w:r>
      <w:r w:rsidRPr="00B74B0E">
        <w:rPr>
          <w:rFonts w:cs="Times New Roman"/>
          <w:i/>
          <w:iCs/>
          <w:noProof/>
          <w:szCs w:val="24"/>
        </w:rPr>
        <w:t>168</w:t>
      </w:r>
      <w:r w:rsidRPr="00B74B0E">
        <w:rPr>
          <w:rFonts w:cs="Times New Roman"/>
          <w:noProof/>
          <w:szCs w:val="24"/>
        </w:rPr>
        <w:t>(October), 94–116. https://doi.org/10.1016/j.landurbplan.2017.09.019</w:t>
      </w:r>
    </w:p>
    <w:p w14:paraId="6F9DDA09"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Manandhar, R., Odehi, I. O. A., &amp; Ancevt, T. (2009). Improving the accuracy of land use and land cover classification of landsat data using post-classification enhancement. </w:t>
      </w:r>
      <w:r w:rsidRPr="00B74B0E">
        <w:rPr>
          <w:rFonts w:cs="Times New Roman"/>
          <w:i/>
          <w:iCs/>
          <w:noProof/>
          <w:szCs w:val="24"/>
        </w:rPr>
        <w:t>Remote Sensing</w:t>
      </w:r>
      <w:r w:rsidRPr="00B74B0E">
        <w:rPr>
          <w:rFonts w:cs="Times New Roman"/>
          <w:noProof/>
          <w:szCs w:val="24"/>
        </w:rPr>
        <w:t xml:space="preserve">, </w:t>
      </w:r>
      <w:r w:rsidRPr="00B74B0E">
        <w:rPr>
          <w:rFonts w:cs="Times New Roman"/>
          <w:i/>
          <w:iCs/>
          <w:noProof/>
          <w:szCs w:val="24"/>
        </w:rPr>
        <w:t>1</w:t>
      </w:r>
      <w:r w:rsidRPr="00B74B0E">
        <w:rPr>
          <w:rFonts w:cs="Times New Roman"/>
          <w:noProof/>
          <w:szCs w:val="24"/>
        </w:rPr>
        <w:t>(3), 330–344. https://doi.org/10.3390/rs1030330</w:t>
      </w:r>
    </w:p>
    <w:p w14:paraId="15C27BAA"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Parihar, S. M., Sarkar, S., Dutta, A., Sharma, S., &amp; Dutta, T. (2013). Characterizing wetland dynamics: A post-classification change detection analysis of the East Kolkata Wetlands using open source satellite data. </w:t>
      </w:r>
      <w:r w:rsidRPr="00B74B0E">
        <w:rPr>
          <w:rFonts w:cs="Times New Roman"/>
          <w:i/>
          <w:iCs/>
          <w:noProof/>
          <w:szCs w:val="24"/>
        </w:rPr>
        <w:t>Geocarto International</w:t>
      </w:r>
      <w:r w:rsidRPr="00B74B0E">
        <w:rPr>
          <w:rFonts w:cs="Times New Roman"/>
          <w:noProof/>
          <w:szCs w:val="24"/>
        </w:rPr>
        <w:t xml:space="preserve">, </w:t>
      </w:r>
      <w:r w:rsidRPr="00B74B0E">
        <w:rPr>
          <w:rFonts w:cs="Times New Roman"/>
          <w:i/>
          <w:iCs/>
          <w:noProof/>
          <w:szCs w:val="24"/>
        </w:rPr>
        <w:t>28</w:t>
      </w:r>
      <w:r w:rsidRPr="00B74B0E">
        <w:rPr>
          <w:rFonts w:cs="Times New Roman"/>
          <w:noProof/>
          <w:szCs w:val="24"/>
        </w:rPr>
        <w:t>(3), 273–287. https://doi.org/10.1080/10106049.2012.705337</w:t>
      </w:r>
    </w:p>
    <w:p w14:paraId="610EEDEA"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Thapa, R. B., &amp; Murayama, Y. (2010). Drivers of urban growth in the Kathmandu valley, Nepal: Examining the efficacy of the analytic hierarchy process. </w:t>
      </w:r>
      <w:r w:rsidRPr="00B74B0E">
        <w:rPr>
          <w:rFonts w:cs="Times New Roman"/>
          <w:i/>
          <w:iCs/>
          <w:noProof/>
          <w:szCs w:val="24"/>
        </w:rPr>
        <w:t>Applied Geography</w:t>
      </w:r>
      <w:r w:rsidRPr="00B74B0E">
        <w:rPr>
          <w:rFonts w:cs="Times New Roman"/>
          <w:noProof/>
          <w:szCs w:val="24"/>
        </w:rPr>
        <w:t xml:space="preserve">, </w:t>
      </w:r>
      <w:r w:rsidRPr="00B74B0E">
        <w:rPr>
          <w:rFonts w:cs="Times New Roman"/>
          <w:i/>
          <w:iCs/>
          <w:noProof/>
          <w:szCs w:val="24"/>
        </w:rPr>
        <w:t>30</w:t>
      </w:r>
      <w:r w:rsidRPr="00B74B0E">
        <w:rPr>
          <w:rFonts w:cs="Times New Roman"/>
          <w:noProof/>
          <w:szCs w:val="24"/>
        </w:rPr>
        <w:t>(1), 70–83. https://doi.org/10.1016/j.apgeog.2009.10.002</w:t>
      </w:r>
    </w:p>
    <w:p w14:paraId="14CA1CF3"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Thompson, W. D., &amp; Walter, S. D. (1988). A rEAPPRAISAL OF THE KAPPA COEFFICIENT. </w:t>
      </w:r>
      <w:r w:rsidRPr="00B74B0E">
        <w:rPr>
          <w:rFonts w:cs="Times New Roman"/>
          <w:i/>
          <w:iCs/>
          <w:noProof/>
          <w:szCs w:val="24"/>
        </w:rPr>
        <w:t>Journal of Clinical Epidemiology</w:t>
      </w:r>
      <w:r w:rsidRPr="00B74B0E">
        <w:rPr>
          <w:rFonts w:cs="Times New Roman"/>
          <w:noProof/>
          <w:szCs w:val="24"/>
        </w:rPr>
        <w:t xml:space="preserve">, </w:t>
      </w:r>
      <w:r w:rsidRPr="00B74B0E">
        <w:rPr>
          <w:rFonts w:cs="Times New Roman"/>
          <w:i/>
          <w:iCs/>
          <w:noProof/>
          <w:szCs w:val="24"/>
        </w:rPr>
        <w:t>41</w:t>
      </w:r>
      <w:r w:rsidRPr="00B74B0E">
        <w:rPr>
          <w:rFonts w:cs="Times New Roman"/>
          <w:noProof/>
          <w:szCs w:val="24"/>
        </w:rPr>
        <w:t>(10), 949–958. https://doi.org/10.1016/0895-4356(88)90031-5</w:t>
      </w:r>
    </w:p>
    <w:p w14:paraId="375458A0"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Xie, Y., Fang, C., Lin, G. C. S., Gong, H., &amp; Qiao, B. (2007). </w:t>
      </w:r>
      <w:r w:rsidRPr="00B74B0E">
        <w:rPr>
          <w:rFonts w:cs="Times New Roman"/>
          <w:i/>
          <w:iCs/>
          <w:noProof/>
          <w:szCs w:val="24"/>
        </w:rPr>
        <w:t>Tempo-Spatial Patterns of Land Use Changes and Urban Development in Globalizing China: A Study of Beijing</w:t>
      </w:r>
      <w:r w:rsidRPr="00B74B0E">
        <w:rPr>
          <w:rFonts w:cs="Times New Roman"/>
          <w:noProof/>
          <w:szCs w:val="24"/>
        </w:rPr>
        <w:t>. 2881–2906.</w:t>
      </w:r>
    </w:p>
    <w:p w14:paraId="39D8CAC4"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Yang, X. (2011). Urban Remote Sensing: Monitoring, Synthesis and Modeling in the Urban Environment. In </w:t>
      </w:r>
      <w:r w:rsidRPr="00B74B0E">
        <w:rPr>
          <w:rFonts w:cs="Times New Roman"/>
          <w:i/>
          <w:iCs/>
          <w:noProof/>
          <w:szCs w:val="24"/>
        </w:rPr>
        <w:t>Urban Remote Sensing: Monitoring, Synthesis and Modeling in the Urban Environment</w:t>
      </w:r>
      <w:r w:rsidRPr="00B74B0E">
        <w:rPr>
          <w:rFonts w:cs="Times New Roman"/>
          <w:noProof/>
          <w:szCs w:val="24"/>
        </w:rPr>
        <w:t>. https://doi.org/10.1002/9780470979563</w:t>
      </w:r>
    </w:p>
    <w:p w14:paraId="4CE79679" w14:textId="77777777" w:rsidR="00376D06" w:rsidRPr="00B74B0E" w:rsidRDefault="00376D06" w:rsidP="0050184F">
      <w:pPr>
        <w:autoSpaceDE w:val="0"/>
        <w:autoSpaceDN w:val="0"/>
        <w:adjustRightInd w:val="0"/>
        <w:spacing w:line="240" w:lineRule="exact"/>
        <w:ind w:left="567" w:hanging="425"/>
        <w:rPr>
          <w:rFonts w:cs="Times New Roman"/>
          <w:noProof/>
          <w:szCs w:val="24"/>
        </w:rPr>
      </w:pPr>
      <w:r w:rsidRPr="00B74B0E">
        <w:rPr>
          <w:rFonts w:cs="Times New Roman"/>
          <w:noProof/>
          <w:szCs w:val="24"/>
        </w:rPr>
        <w:t xml:space="preserve">Zhang, X., Wu, Y., &amp; Shen, L. (2011). An evaluation framework for the sustainability of urban land use: A study of capital cities and municipalities in China. </w:t>
      </w:r>
      <w:r w:rsidRPr="00B74B0E">
        <w:rPr>
          <w:rFonts w:cs="Times New Roman"/>
          <w:i/>
          <w:iCs/>
          <w:noProof/>
          <w:szCs w:val="24"/>
        </w:rPr>
        <w:t>Habitat International</w:t>
      </w:r>
      <w:r w:rsidRPr="00B74B0E">
        <w:rPr>
          <w:rFonts w:cs="Times New Roman"/>
          <w:noProof/>
          <w:szCs w:val="24"/>
        </w:rPr>
        <w:t xml:space="preserve">, </w:t>
      </w:r>
      <w:r w:rsidRPr="00B74B0E">
        <w:rPr>
          <w:rFonts w:cs="Times New Roman"/>
          <w:i/>
          <w:iCs/>
          <w:noProof/>
          <w:szCs w:val="24"/>
        </w:rPr>
        <w:t>35</w:t>
      </w:r>
      <w:r w:rsidRPr="00B74B0E">
        <w:rPr>
          <w:rFonts w:cs="Times New Roman"/>
          <w:noProof/>
          <w:szCs w:val="24"/>
        </w:rPr>
        <w:t>(1), 141–149. https://doi.org/10.1016/j.habitatint.2010.06.006</w:t>
      </w:r>
    </w:p>
    <w:p w14:paraId="33190948" w14:textId="73BAADF1" w:rsidR="00AC43AD" w:rsidRPr="00B74B0E" w:rsidRDefault="00ED423E" w:rsidP="0050184F">
      <w:pPr>
        <w:pStyle w:val="BodyText"/>
        <w:tabs>
          <w:tab w:val="left" w:pos="656"/>
          <w:tab w:val="left" w:pos="1390"/>
          <w:tab w:val="left" w:pos="2215"/>
          <w:tab w:val="left" w:pos="2935"/>
          <w:tab w:val="left" w:pos="4331"/>
          <w:tab w:val="left" w:pos="5309"/>
          <w:tab w:val="left" w:pos="6378"/>
          <w:tab w:val="left" w:pos="7864"/>
          <w:tab w:val="left" w:pos="9265"/>
        </w:tabs>
        <w:spacing w:line="274" w:lineRule="exact"/>
        <w:ind w:left="567" w:right="169" w:hanging="425"/>
        <w:rPr>
          <w:rStyle w:val="Hyperlink"/>
          <w:rFonts w:eastAsiaTheme="minorHAnsi" w:cs="Times New Roman"/>
          <w:spacing w:val="-1"/>
          <w:szCs w:val="22"/>
        </w:rPr>
      </w:pPr>
      <w:r w:rsidRPr="00B74B0E">
        <w:rPr>
          <w:rFonts w:cs="Times New Roman"/>
        </w:rPr>
        <w:fldChar w:fldCharType="end"/>
      </w:r>
    </w:p>
    <w:p w14:paraId="2B9653EB" w14:textId="77777777" w:rsidR="00ED423E" w:rsidRPr="00B74B0E" w:rsidRDefault="00ED423E">
      <w:pPr>
        <w:pStyle w:val="BodyText"/>
        <w:tabs>
          <w:tab w:val="left" w:pos="656"/>
          <w:tab w:val="left" w:pos="1390"/>
          <w:tab w:val="left" w:pos="2215"/>
          <w:tab w:val="left" w:pos="2935"/>
          <w:tab w:val="left" w:pos="4331"/>
          <w:tab w:val="left" w:pos="5309"/>
          <w:tab w:val="left" w:pos="6378"/>
          <w:tab w:val="left" w:pos="7864"/>
          <w:tab w:val="left" w:pos="9265"/>
        </w:tabs>
        <w:spacing w:line="274" w:lineRule="exact"/>
        <w:ind w:right="169"/>
        <w:rPr>
          <w:rFonts w:cs="Times New Roman"/>
        </w:rPr>
      </w:pPr>
    </w:p>
    <w:sectPr w:rsidR="00ED423E" w:rsidRPr="00B74B0E" w:rsidSect="001A60A4">
      <w:pgSz w:w="11910" w:h="16840"/>
      <w:pgMar w:top="1474" w:right="1247" w:bottom="1247" w:left="136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BA9C34" w14:textId="77777777" w:rsidR="00E35559" w:rsidRDefault="00E35559" w:rsidP="00BE3748">
      <w:r>
        <w:separator/>
      </w:r>
    </w:p>
  </w:endnote>
  <w:endnote w:type="continuationSeparator" w:id="0">
    <w:p w14:paraId="36D0DD34" w14:textId="77777777" w:rsidR="00E35559" w:rsidRDefault="00E35559" w:rsidP="00BE37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7CD39C" w14:textId="77777777" w:rsidR="00E35559" w:rsidRDefault="00E35559" w:rsidP="00BE3748">
      <w:r>
        <w:separator/>
      </w:r>
    </w:p>
  </w:footnote>
  <w:footnote w:type="continuationSeparator" w:id="0">
    <w:p w14:paraId="1DBC0D2A" w14:textId="77777777" w:rsidR="00E35559" w:rsidRDefault="00E35559" w:rsidP="00BE37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75225E"/>
    <w:multiLevelType w:val="multilevel"/>
    <w:tmpl w:val="67EE7B52"/>
    <w:lvl w:ilvl="0">
      <w:start w:val="1"/>
      <w:numFmt w:val="decimal"/>
      <w:lvlText w:val="%1."/>
      <w:lvlJc w:val="left"/>
      <w:pPr>
        <w:ind w:left="479" w:hanging="360"/>
      </w:pPr>
      <w:rPr>
        <w:rFonts w:hint="default"/>
        <w:b/>
      </w:rPr>
    </w:lvl>
    <w:lvl w:ilvl="1">
      <w:start w:val="1"/>
      <w:numFmt w:val="decimal"/>
      <w:pStyle w:val="ReferenceHead"/>
      <w:isLgl/>
      <w:lvlText w:val="%1.%2"/>
      <w:lvlJc w:val="left"/>
      <w:pPr>
        <w:ind w:left="479" w:hanging="360"/>
      </w:pPr>
      <w:rPr>
        <w:rFonts w:hint="default"/>
        <w:b/>
      </w:rPr>
    </w:lvl>
    <w:lvl w:ilvl="2">
      <w:start w:val="1"/>
      <w:numFmt w:val="decimal"/>
      <w:isLgl/>
      <w:lvlText w:val="%1.%2.%3"/>
      <w:lvlJc w:val="left"/>
      <w:pPr>
        <w:ind w:left="839" w:hanging="720"/>
      </w:pPr>
      <w:rPr>
        <w:rFonts w:hint="default"/>
        <w:b/>
      </w:rPr>
    </w:lvl>
    <w:lvl w:ilvl="3">
      <w:start w:val="1"/>
      <w:numFmt w:val="decimal"/>
      <w:isLgl/>
      <w:lvlText w:val="%1.%2.%3.%4"/>
      <w:lvlJc w:val="left"/>
      <w:pPr>
        <w:ind w:left="839" w:hanging="720"/>
      </w:pPr>
      <w:rPr>
        <w:rFonts w:hint="default"/>
        <w:b/>
      </w:rPr>
    </w:lvl>
    <w:lvl w:ilvl="4">
      <w:start w:val="1"/>
      <w:numFmt w:val="decimal"/>
      <w:isLgl/>
      <w:lvlText w:val="%1.%2.%3.%4.%5"/>
      <w:lvlJc w:val="left"/>
      <w:pPr>
        <w:ind w:left="1199" w:hanging="1080"/>
      </w:pPr>
      <w:rPr>
        <w:rFonts w:hint="default"/>
        <w:b/>
      </w:rPr>
    </w:lvl>
    <w:lvl w:ilvl="5">
      <w:start w:val="1"/>
      <w:numFmt w:val="decimal"/>
      <w:isLgl/>
      <w:lvlText w:val="%1.%2.%3.%4.%5.%6"/>
      <w:lvlJc w:val="left"/>
      <w:pPr>
        <w:ind w:left="1199" w:hanging="1080"/>
      </w:pPr>
      <w:rPr>
        <w:rFonts w:hint="default"/>
        <w:b/>
      </w:rPr>
    </w:lvl>
    <w:lvl w:ilvl="6">
      <w:start w:val="1"/>
      <w:numFmt w:val="decimal"/>
      <w:isLgl/>
      <w:lvlText w:val="%1.%2.%3.%4.%5.%6.%7"/>
      <w:lvlJc w:val="left"/>
      <w:pPr>
        <w:ind w:left="1559" w:hanging="1440"/>
      </w:pPr>
      <w:rPr>
        <w:rFonts w:hint="default"/>
        <w:b/>
      </w:rPr>
    </w:lvl>
    <w:lvl w:ilvl="7">
      <w:start w:val="1"/>
      <w:numFmt w:val="decimal"/>
      <w:isLgl/>
      <w:lvlText w:val="%1.%2.%3.%4.%5.%6.%7.%8"/>
      <w:lvlJc w:val="left"/>
      <w:pPr>
        <w:ind w:left="1559" w:hanging="1440"/>
      </w:pPr>
      <w:rPr>
        <w:rFonts w:hint="default"/>
        <w:b/>
      </w:rPr>
    </w:lvl>
    <w:lvl w:ilvl="8">
      <w:start w:val="1"/>
      <w:numFmt w:val="decimal"/>
      <w:isLgl/>
      <w:lvlText w:val="%1.%2.%3.%4.%5.%6.%7.%8.%9"/>
      <w:lvlJc w:val="left"/>
      <w:pPr>
        <w:ind w:left="1919" w:hanging="1800"/>
      </w:pPr>
      <w:rPr>
        <w:rFonts w:hint="default"/>
        <w:b/>
      </w:rPr>
    </w:lvl>
  </w:abstractNum>
  <w:abstractNum w:abstractNumId="1" w15:restartNumberingAfterBreak="0">
    <w:nsid w:val="140D677C"/>
    <w:multiLevelType w:val="multilevel"/>
    <w:tmpl w:val="0F36FC96"/>
    <w:lvl w:ilvl="0">
      <w:start w:val="1"/>
      <w:numFmt w:val="decimal"/>
      <w:lvlText w:val="%1."/>
      <w:lvlJc w:val="left"/>
      <w:pPr>
        <w:ind w:left="421" w:hanging="302"/>
      </w:pPr>
      <w:rPr>
        <w:rFonts w:ascii="Times New Roman" w:eastAsia="Times New Roman" w:hAnsi="Times New Roman" w:hint="default"/>
        <w:b/>
        <w:bCs/>
        <w:sz w:val="24"/>
        <w:szCs w:val="24"/>
      </w:rPr>
    </w:lvl>
    <w:lvl w:ilvl="1">
      <w:start w:val="1"/>
      <w:numFmt w:val="decimal"/>
      <w:lvlText w:val="%1.%2"/>
      <w:lvlJc w:val="left"/>
      <w:pPr>
        <w:ind w:left="484" w:hanging="365"/>
      </w:pPr>
      <w:rPr>
        <w:rFonts w:ascii="Times New Roman" w:eastAsia="Times New Roman" w:hAnsi="Times New Roman" w:hint="default"/>
        <w:b/>
        <w:bCs/>
        <w:sz w:val="24"/>
        <w:szCs w:val="24"/>
      </w:rPr>
    </w:lvl>
    <w:lvl w:ilvl="2">
      <w:start w:val="1"/>
      <w:numFmt w:val="decimal"/>
      <w:lvlText w:val="%1.%2.%3"/>
      <w:lvlJc w:val="left"/>
      <w:pPr>
        <w:ind w:left="119" w:hanging="557"/>
      </w:pPr>
      <w:rPr>
        <w:rFonts w:ascii="Times New Roman" w:eastAsia="Times New Roman" w:hAnsi="Times New Roman" w:hint="default"/>
        <w:b/>
        <w:bCs/>
        <w:sz w:val="24"/>
        <w:szCs w:val="24"/>
      </w:rPr>
    </w:lvl>
    <w:lvl w:ilvl="3">
      <w:start w:val="1"/>
      <w:numFmt w:val="bullet"/>
      <w:lvlText w:val="•"/>
      <w:lvlJc w:val="left"/>
      <w:pPr>
        <w:ind w:left="421" w:hanging="557"/>
      </w:pPr>
      <w:rPr>
        <w:rFonts w:hint="default"/>
      </w:rPr>
    </w:lvl>
    <w:lvl w:ilvl="4">
      <w:start w:val="1"/>
      <w:numFmt w:val="bullet"/>
      <w:lvlText w:val="•"/>
      <w:lvlJc w:val="left"/>
      <w:pPr>
        <w:ind w:left="484" w:hanging="557"/>
      </w:pPr>
      <w:rPr>
        <w:rFonts w:hint="default"/>
      </w:rPr>
    </w:lvl>
    <w:lvl w:ilvl="5">
      <w:start w:val="1"/>
      <w:numFmt w:val="bullet"/>
      <w:lvlText w:val="•"/>
      <w:lvlJc w:val="left"/>
      <w:pPr>
        <w:ind w:left="484" w:hanging="557"/>
      </w:pPr>
      <w:rPr>
        <w:rFonts w:hint="default"/>
      </w:rPr>
    </w:lvl>
    <w:lvl w:ilvl="6">
      <w:start w:val="1"/>
      <w:numFmt w:val="bullet"/>
      <w:lvlText w:val="•"/>
      <w:lvlJc w:val="left"/>
      <w:pPr>
        <w:ind w:left="484" w:hanging="557"/>
      </w:pPr>
      <w:rPr>
        <w:rFonts w:hint="default"/>
      </w:rPr>
    </w:lvl>
    <w:lvl w:ilvl="7">
      <w:start w:val="1"/>
      <w:numFmt w:val="bullet"/>
      <w:lvlText w:val="•"/>
      <w:lvlJc w:val="left"/>
      <w:pPr>
        <w:ind w:left="2749" w:hanging="557"/>
      </w:pPr>
      <w:rPr>
        <w:rFonts w:hint="default"/>
      </w:rPr>
    </w:lvl>
    <w:lvl w:ilvl="8">
      <w:start w:val="1"/>
      <w:numFmt w:val="bullet"/>
      <w:lvlText w:val="•"/>
      <w:lvlJc w:val="left"/>
      <w:pPr>
        <w:ind w:left="5014" w:hanging="557"/>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QxMTM3NDQ3N7WwNDNV0lEKTi0uzszPAykwqQUAxB/wAiwAAAA="/>
  </w:docVars>
  <w:rsids>
    <w:rsidRoot w:val="00AC43AD"/>
    <w:rsid w:val="00010255"/>
    <w:rsid w:val="0002037E"/>
    <w:rsid w:val="000661A7"/>
    <w:rsid w:val="000D3D46"/>
    <w:rsid w:val="000F08A3"/>
    <w:rsid w:val="0010121E"/>
    <w:rsid w:val="00111015"/>
    <w:rsid w:val="001610C9"/>
    <w:rsid w:val="00181813"/>
    <w:rsid w:val="001A60A4"/>
    <w:rsid w:val="001F7066"/>
    <w:rsid w:val="0020598A"/>
    <w:rsid w:val="002255AA"/>
    <w:rsid w:val="00250A70"/>
    <w:rsid w:val="00286930"/>
    <w:rsid w:val="002D6B0A"/>
    <w:rsid w:val="00312B2D"/>
    <w:rsid w:val="00320390"/>
    <w:rsid w:val="0033510B"/>
    <w:rsid w:val="00376D06"/>
    <w:rsid w:val="0038522C"/>
    <w:rsid w:val="003935DC"/>
    <w:rsid w:val="00396650"/>
    <w:rsid w:val="003A68BD"/>
    <w:rsid w:val="003D04BD"/>
    <w:rsid w:val="003D449D"/>
    <w:rsid w:val="003E2B06"/>
    <w:rsid w:val="0044675F"/>
    <w:rsid w:val="0045288B"/>
    <w:rsid w:val="00473346"/>
    <w:rsid w:val="004869C5"/>
    <w:rsid w:val="004B35ED"/>
    <w:rsid w:val="004E0B65"/>
    <w:rsid w:val="0050184F"/>
    <w:rsid w:val="00597F2E"/>
    <w:rsid w:val="005B1188"/>
    <w:rsid w:val="005D10D0"/>
    <w:rsid w:val="005D2D68"/>
    <w:rsid w:val="005F08FE"/>
    <w:rsid w:val="0060229D"/>
    <w:rsid w:val="006074CC"/>
    <w:rsid w:val="00636BE4"/>
    <w:rsid w:val="006617EE"/>
    <w:rsid w:val="006717B6"/>
    <w:rsid w:val="006D62CE"/>
    <w:rsid w:val="0074582C"/>
    <w:rsid w:val="00764A20"/>
    <w:rsid w:val="007A6E3D"/>
    <w:rsid w:val="007C0C08"/>
    <w:rsid w:val="00811796"/>
    <w:rsid w:val="00837BA2"/>
    <w:rsid w:val="00844F5F"/>
    <w:rsid w:val="00891364"/>
    <w:rsid w:val="008A273D"/>
    <w:rsid w:val="008B447F"/>
    <w:rsid w:val="008B7AB6"/>
    <w:rsid w:val="00900687"/>
    <w:rsid w:val="009015F8"/>
    <w:rsid w:val="00923C6B"/>
    <w:rsid w:val="009B465A"/>
    <w:rsid w:val="009D4DB7"/>
    <w:rsid w:val="009D5500"/>
    <w:rsid w:val="009E222B"/>
    <w:rsid w:val="009E2807"/>
    <w:rsid w:val="00A3676E"/>
    <w:rsid w:val="00A4334E"/>
    <w:rsid w:val="00A93BCC"/>
    <w:rsid w:val="00AA460E"/>
    <w:rsid w:val="00AC43AD"/>
    <w:rsid w:val="00AF43E5"/>
    <w:rsid w:val="00AF43F5"/>
    <w:rsid w:val="00B102E1"/>
    <w:rsid w:val="00B33C15"/>
    <w:rsid w:val="00B4443C"/>
    <w:rsid w:val="00B7435E"/>
    <w:rsid w:val="00B74B0E"/>
    <w:rsid w:val="00BA14CE"/>
    <w:rsid w:val="00BC4FB1"/>
    <w:rsid w:val="00BE3748"/>
    <w:rsid w:val="00BF7CA9"/>
    <w:rsid w:val="00C3260C"/>
    <w:rsid w:val="00C63DBE"/>
    <w:rsid w:val="00C63F83"/>
    <w:rsid w:val="00C70139"/>
    <w:rsid w:val="00C70C0F"/>
    <w:rsid w:val="00C84B54"/>
    <w:rsid w:val="00C85F3F"/>
    <w:rsid w:val="00CA7F3C"/>
    <w:rsid w:val="00CC2B7B"/>
    <w:rsid w:val="00CF5EFF"/>
    <w:rsid w:val="00D05B5B"/>
    <w:rsid w:val="00D30D61"/>
    <w:rsid w:val="00DA0307"/>
    <w:rsid w:val="00DB42C0"/>
    <w:rsid w:val="00DE7333"/>
    <w:rsid w:val="00E17712"/>
    <w:rsid w:val="00E23C8E"/>
    <w:rsid w:val="00E35559"/>
    <w:rsid w:val="00E41E8C"/>
    <w:rsid w:val="00E44E35"/>
    <w:rsid w:val="00E57DF1"/>
    <w:rsid w:val="00E72341"/>
    <w:rsid w:val="00E93271"/>
    <w:rsid w:val="00ED423E"/>
    <w:rsid w:val="00EF0E70"/>
    <w:rsid w:val="00EF6B41"/>
    <w:rsid w:val="00F050CF"/>
    <w:rsid w:val="00F43851"/>
    <w:rsid w:val="00F57542"/>
    <w:rsid w:val="00F70DC7"/>
    <w:rsid w:val="00F724A2"/>
    <w:rsid w:val="00FD74A6"/>
    <w:rsid w:val="00FE2B0D"/>
    <w:rsid w:val="00FE633C"/>
    <w:rsid w:val="0220ACE7"/>
    <w:rsid w:val="07BB1177"/>
    <w:rsid w:val="08DB4A9D"/>
    <w:rsid w:val="0A7D77BA"/>
    <w:rsid w:val="0B4037FB"/>
    <w:rsid w:val="0D427D77"/>
    <w:rsid w:val="11CB0116"/>
    <w:rsid w:val="184AD02D"/>
    <w:rsid w:val="1AD1D4C3"/>
    <w:rsid w:val="1D331294"/>
    <w:rsid w:val="1D5A2F8F"/>
    <w:rsid w:val="20C0F2D4"/>
    <w:rsid w:val="20C8FC18"/>
    <w:rsid w:val="23459941"/>
    <w:rsid w:val="23A8D8BB"/>
    <w:rsid w:val="245002DB"/>
    <w:rsid w:val="24EACE49"/>
    <w:rsid w:val="2572C2EE"/>
    <w:rsid w:val="26C9B5FB"/>
    <w:rsid w:val="29175043"/>
    <w:rsid w:val="29F195E2"/>
    <w:rsid w:val="2C117E36"/>
    <w:rsid w:val="330F6D86"/>
    <w:rsid w:val="34A340EA"/>
    <w:rsid w:val="3B0CE03E"/>
    <w:rsid w:val="3D5093C3"/>
    <w:rsid w:val="3DC243F4"/>
    <w:rsid w:val="3E6034A5"/>
    <w:rsid w:val="3FB962EB"/>
    <w:rsid w:val="412B4A8E"/>
    <w:rsid w:val="41AFDA3C"/>
    <w:rsid w:val="453C57F4"/>
    <w:rsid w:val="50B2C171"/>
    <w:rsid w:val="50B87FBE"/>
    <w:rsid w:val="51B23C15"/>
    <w:rsid w:val="52C0219C"/>
    <w:rsid w:val="5359ADF2"/>
    <w:rsid w:val="5497718A"/>
    <w:rsid w:val="5899F453"/>
    <w:rsid w:val="6750A161"/>
    <w:rsid w:val="6857EF0D"/>
    <w:rsid w:val="6B6E3107"/>
    <w:rsid w:val="6CEA282D"/>
    <w:rsid w:val="6F15718F"/>
    <w:rsid w:val="6F39B225"/>
    <w:rsid w:val="6F9D9E72"/>
    <w:rsid w:val="707FFC48"/>
    <w:rsid w:val="731ED41B"/>
    <w:rsid w:val="78A36013"/>
    <w:rsid w:val="78DDDA7D"/>
    <w:rsid w:val="79039F6F"/>
    <w:rsid w:val="796A4169"/>
    <w:rsid w:val="7BD6DF7C"/>
    <w:rsid w:val="7BDF4B5E"/>
    <w:rsid w:val="7CD1417E"/>
    <w:rsid w:val="7D2CFA3D"/>
    <w:rsid w:val="7FAEBDCF"/>
    <w:rsid w:val="7FAF5B51"/>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42EC87E"/>
  <w15:docId w15:val="{7DE9EBB8-CCD2-48F3-BFCC-8BE8C3D8C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BE3748"/>
    <w:pPr>
      <w:jc w:val="both"/>
    </w:pPr>
    <w:rPr>
      <w:rFonts w:ascii="Times New Roman" w:hAnsi="Times New Roman"/>
      <w:sz w:val="24"/>
    </w:rPr>
  </w:style>
  <w:style w:type="paragraph" w:styleId="Heading1">
    <w:name w:val="heading 1"/>
    <w:basedOn w:val="Normal"/>
    <w:uiPriority w:val="1"/>
    <w:qFormat/>
    <w:pPr>
      <w:ind w:left="484" w:hanging="365"/>
      <w:outlineLvl w:val="0"/>
    </w:pPr>
    <w:rPr>
      <w:rFonts w:eastAsia="Times New Roman"/>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link w:val="BodyTextChar"/>
    <w:uiPriority w:val="1"/>
    <w:qFormat/>
    <w:pPr>
      <w:ind w:left="119"/>
    </w:pPr>
    <w:rPr>
      <w:rFonts w:eastAsia="Times New Roman"/>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CommentReference">
    <w:name w:val="annotation reference"/>
    <w:basedOn w:val="DefaultParagraphFont"/>
    <w:uiPriority w:val="99"/>
    <w:semiHidden/>
    <w:unhideWhenUsed/>
    <w:rsid w:val="00A93BCC"/>
    <w:rPr>
      <w:sz w:val="16"/>
      <w:szCs w:val="16"/>
    </w:rPr>
  </w:style>
  <w:style w:type="paragraph" w:styleId="CommentText">
    <w:name w:val="annotation text"/>
    <w:basedOn w:val="Normal"/>
    <w:link w:val="CommentTextChar"/>
    <w:uiPriority w:val="99"/>
    <w:semiHidden/>
    <w:unhideWhenUsed/>
    <w:rsid w:val="00A93BCC"/>
    <w:rPr>
      <w:sz w:val="20"/>
      <w:szCs w:val="20"/>
    </w:rPr>
  </w:style>
  <w:style w:type="character" w:customStyle="1" w:styleId="CommentTextChar">
    <w:name w:val="Comment Text Char"/>
    <w:basedOn w:val="DefaultParagraphFont"/>
    <w:link w:val="CommentText"/>
    <w:uiPriority w:val="99"/>
    <w:semiHidden/>
    <w:rsid w:val="00A93BCC"/>
    <w:rPr>
      <w:sz w:val="20"/>
      <w:szCs w:val="20"/>
    </w:rPr>
  </w:style>
  <w:style w:type="paragraph" w:styleId="CommentSubject">
    <w:name w:val="annotation subject"/>
    <w:basedOn w:val="CommentText"/>
    <w:next w:val="CommentText"/>
    <w:link w:val="CommentSubjectChar"/>
    <w:uiPriority w:val="99"/>
    <w:semiHidden/>
    <w:unhideWhenUsed/>
    <w:rsid w:val="00A93BCC"/>
    <w:rPr>
      <w:b/>
      <w:bCs/>
    </w:rPr>
  </w:style>
  <w:style w:type="character" w:customStyle="1" w:styleId="CommentSubjectChar">
    <w:name w:val="Comment Subject Char"/>
    <w:basedOn w:val="CommentTextChar"/>
    <w:link w:val="CommentSubject"/>
    <w:uiPriority w:val="99"/>
    <w:semiHidden/>
    <w:rsid w:val="00A93BCC"/>
    <w:rPr>
      <w:b/>
      <w:bCs/>
      <w:sz w:val="20"/>
      <w:szCs w:val="20"/>
    </w:rPr>
  </w:style>
  <w:style w:type="paragraph" w:styleId="BalloonText">
    <w:name w:val="Balloon Text"/>
    <w:basedOn w:val="Normal"/>
    <w:link w:val="BalloonTextChar"/>
    <w:uiPriority w:val="99"/>
    <w:semiHidden/>
    <w:unhideWhenUsed/>
    <w:rsid w:val="00A93BC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3BCC"/>
    <w:rPr>
      <w:rFonts w:ascii="Segoe UI" w:hAnsi="Segoe UI" w:cs="Segoe UI"/>
      <w:sz w:val="18"/>
      <w:szCs w:val="18"/>
    </w:rPr>
  </w:style>
  <w:style w:type="character" w:styleId="Hyperlink">
    <w:name w:val="Hyperlink"/>
    <w:basedOn w:val="DefaultParagraphFont"/>
    <w:uiPriority w:val="99"/>
    <w:unhideWhenUsed/>
    <w:rsid w:val="00312B2D"/>
    <w:rPr>
      <w:color w:val="0000FF" w:themeColor="hyperlink"/>
      <w:u w:val="single"/>
    </w:rPr>
  </w:style>
  <w:style w:type="character" w:customStyle="1" w:styleId="UnresolvedMention1">
    <w:name w:val="Unresolved Mention1"/>
    <w:basedOn w:val="DefaultParagraphFont"/>
    <w:uiPriority w:val="99"/>
    <w:semiHidden/>
    <w:unhideWhenUsed/>
    <w:rsid w:val="00312B2D"/>
    <w:rPr>
      <w:color w:val="605E5C"/>
      <w:shd w:val="clear" w:color="auto" w:fill="E1DFDD"/>
    </w:rPr>
  </w:style>
  <w:style w:type="paragraph" w:customStyle="1" w:styleId="ReferenceHead">
    <w:name w:val="ReferenceHead"/>
    <w:autoRedefine/>
    <w:qFormat/>
    <w:rsid w:val="00BE3748"/>
    <w:pPr>
      <w:widowControl/>
      <w:numPr>
        <w:ilvl w:val="1"/>
        <w:numId w:val="2"/>
      </w:numPr>
      <w:tabs>
        <w:tab w:val="left" w:pos="8931"/>
      </w:tabs>
      <w:jc w:val="both"/>
    </w:pPr>
    <w:rPr>
      <w:rFonts w:ascii="Times New Roman" w:hAnsi="Times New Roman" w:cs="Times New Roman"/>
      <w:b/>
      <w:sz w:val="24"/>
      <w:szCs w:val="24"/>
      <w14:ligatures w14:val="standard"/>
    </w:rPr>
  </w:style>
  <w:style w:type="character" w:customStyle="1" w:styleId="BodyTextChar">
    <w:name w:val="Body Text Char"/>
    <w:basedOn w:val="DefaultParagraphFont"/>
    <w:link w:val="BodyText"/>
    <w:uiPriority w:val="1"/>
    <w:rsid w:val="00F724A2"/>
    <w:rPr>
      <w:rFonts w:ascii="Times New Roman" w:eastAsia="Times New Roman" w:hAnsi="Times New Roman"/>
      <w:sz w:val="24"/>
      <w:szCs w:val="24"/>
    </w:rPr>
  </w:style>
  <w:style w:type="character" w:customStyle="1" w:styleId="normaltextrun">
    <w:name w:val="normaltextrun"/>
    <w:basedOn w:val="DefaultParagraphFont"/>
    <w:rsid w:val="00AF43E5"/>
  </w:style>
  <w:style w:type="table" w:styleId="TableGrid">
    <w:name w:val="Table Grid"/>
    <w:basedOn w:val="TableNormal"/>
    <w:uiPriority w:val="59"/>
    <w:rsid w:val="00E177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2255AA"/>
    <w:rPr>
      <w:color w:val="808080"/>
    </w:rPr>
  </w:style>
  <w:style w:type="paragraph" w:styleId="Header">
    <w:name w:val="header"/>
    <w:basedOn w:val="Normal"/>
    <w:link w:val="HeaderChar"/>
    <w:uiPriority w:val="99"/>
    <w:unhideWhenUsed/>
    <w:rsid w:val="00BE3748"/>
    <w:pPr>
      <w:tabs>
        <w:tab w:val="center" w:pos="4680"/>
        <w:tab w:val="right" w:pos="9360"/>
      </w:tabs>
    </w:pPr>
  </w:style>
  <w:style w:type="character" w:customStyle="1" w:styleId="HeaderChar">
    <w:name w:val="Header Char"/>
    <w:basedOn w:val="DefaultParagraphFont"/>
    <w:link w:val="Header"/>
    <w:uiPriority w:val="99"/>
    <w:rsid w:val="00BE3748"/>
  </w:style>
  <w:style w:type="paragraph" w:styleId="Footer">
    <w:name w:val="footer"/>
    <w:basedOn w:val="Normal"/>
    <w:link w:val="FooterChar"/>
    <w:uiPriority w:val="99"/>
    <w:unhideWhenUsed/>
    <w:rsid w:val="00BE3748"/>
    <w:pPr>
      <w:tabs>
        <w:tab w:val="center" w:pos="4680"/>
        <w:tab w:val="right" w:pos="9360"/>
      </w:tabs>
    </w:pPr>
  </w:style>
  <w:style w:type="character" w:customStyle="1" w:styleId="FooterChar">
    <w:name w:val="Footer Char"/>
    <w:basedOn w:val="DefaultParagraphFont"/>
    <w:link w:val="Footer"/>
    <w:uiPriority w:val="99"/>
    <w:rsid w:val="00BE37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s://openstreetmap.id/en/" TargetMode="Externa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tanahair.indonesia.go.id/portal-web" TargetMode="External"/><Relationship Id="rId5" Type="http://schemas.openxmlformats.org/officeDocument/2006/relationships/numbering" Target="numbering.xml"/><Relationship Id="rId15" Type="http://schemas.openxmlformats.org/officeDocument/2006/relationships/image" Target="media/image3.png"/><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0D2132207B1C745836CA05139DDD2B5" ma:contentTypeVersion="4" ma:contentTypeDescription="Create a new document." ma:contentTypeScope="" ma:versionID="8aa6e629085fbd6dbfbe0cd5acb2bb42">
  <xsd:schema xmlns:xsd="http://www.w3.org/2001/XMLSchema" xmlns:xs="http://www.w3.org/2001/XMLSchema" xmlns:p="http://schemas.microsoft.com/office/2006/metadata/properties" xmlns:ns2="75923ef6-5c80-4673-894a-d6e1b5b426a1" targetNamespace="http://schemas.microsoft.com/office/2006/metadata/properties" ma:root="true" ma:fieldsID="212570d8cc729df94853c06981c7e084" ns2:_="">
    <xsd:import namespace="75923ef6-5c80-4673-894a-d6e1b5b426a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923ef6-5c80-4673-894a-d6e1b5b426a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B7C09A-C0E8-4833-AC41-78B4DE818B9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A0FB5D6-73A2-4B79-A489-68F74DB714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923ef6-5c80-4673-894a-d6e1b5b426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844234C-0F81-4D37-877A-D2964C6B1122}">
  <ds:schemaRefs>
    <ds:schemaRef ds:uri="http://schemas.microsoft.com/sharepoint/v3/contenttype/forms"/>
  </ds:schemaRefs>
</ds:datastoreItem>
</file>

<file path=customXml/itemProps4.xml><?xml version="1.0" encoding="utf-8"?>
<ds:datastoreItem xmlns:ds="http://schemas.openxmlformats.org/officeDocument/2006/customXml" ds:itemID="{56216CD3-DD6D-4408-B455-6832BC5D7A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15981</Words>
  <Characters>91094</Characters>
  <Application>Microsoft Office Word</Application>
  <DocSecurity>0</DocSecurity>
  <Lines>759</Lines>
  <Paragraphs>213</Paragraphs>
  <ScaleCrop>false</ScaleCrop>
  <Company/>
  <LinksUpToDate>false</LinksUpToDate>
  <CharactersWithSpaces>106862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Online2PDF.com</dc:creator>
  <cp:lastModifiedBy>dyah lestari widaningrum</cp:lastModifiedBy>
  <cp:revision>3</cp:revision>
  <dcterms:created xsi:type="dcterms:W3CDTF">2020-10-15T02:56:00Z</dcterms:created>
  <dcterms:modified xsi:type="dcterms:W3CDTF">2020-10-15T02:57:00Z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2018-09-07T00:00:00Z</vt:filetime>
  </property>
  <property fmtid="{D5CDD505-2E9C-101B-9397-08002B2CF9AE}" pid="3" name="LastSaved">
    <vt:filetime>2018-09-07T00:00:00Z</vt:filetime>
  </property>
  <property fmtid="{D5CDD505-2E9C-101B-9397-08002B2CF9AE}" pid="4" name="ContentTypeId">
    <vt:lpwstr>0x01010040D2132207B1C745836CA05139DDD2B5</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Mendeley Document_1">
    <vt:lpwstr>True</vt:lpwstr>
  </property>
  <property fmtid="{D5CDD505-2E9C-101B-9397-08002B2CF9AE}" pid="26" name="Mendeley Unique User Id_1">
    <vt:lpwstr>8fc453d4-37ef-3570-9608-eb04bee27ada</vt:lpwstr>
  </property>
  <property fmtid="{D5CDD505-2E9C-101B-9397-08002B2CF9AE}" pid="27" name="Mendeley Citation Style_1">
    <vt:lpwstr>http://www.zotero.org/styles/apa</vt:lpwstr>
  </property>
</Properties>
</file>